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Grid's Unseen Tremors: Frequency Stability, Cascading Risk, and the Imperative for Action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Date:</w:t>
      </w:r>
      <w:r w:rsidDel="00000000" w:rsidR="00000000" w:rsidRPr="00000000">
        <w:rPr>
          <w:rFonts w:ascii="Google Sans Text" w:cs="Google Sans Text" w:eastAsia="Google Sans Text" w:hAnsi="Google Sans Text"/>
          <w:i w:val="0"/>
          <w:color w:val="1b1c1d"/>
          <w:sz w:val="24"/>
          <w:szCs w:val="24"/>
          <w:rtl w:val="0"/>
        </w:rPr>
        <w:t xml:space="preserve"> April 2024</w:t>
        <w:br w:type="textWrapping"/>
      </w:r>
      <w:r w:rsidDel="00000000" w:rsidR="00000000" w:rsidRPr="00000000">
        <w:rPr>
          <w:rFonts w:ascii="Google Sans Text" w:cs="Google Sans Text" w:eastAsia="Google Sans Text" w:hAnsi="Google Sans Text"/>
          <w:color w:val="1b1c1d"/>
          <w:sz w:val="24"/>
          <w:szCs w:val="24"/>
          <w:rtl w:val="0"/>
        </w:rPr>
        <w:t xml:space="preserve">J.Mckenney</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 Introduction: Reflections from Chicago – The Grid's Unseen Tremors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Recent discussions at energy sector gatherings, such as those anticipated or echoed from events in Chicago focusing on utility storage, EV infrastructure, and grid modernization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reveal an industry grappling with transformative change. The discourse is vibrant with talk of integrating renewables, deploying vast battery storage, managing the surge in electric vehicles, and building a smarter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Yet, beneath this surface of necessary innovation lies a more fundamental challenge, one less discussed in policy circles but critical to the very foundation of our electrical system: maintaining grid stability in the face of unprecedented physical and operational shifts. The efficient use of energy and the deployment of new technologies are paramount goals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but their successful integration hinges on preserving the delicate balance of the grid itself.</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addresses the growing vulnerability of our power grids to frequency instability – a phenomenon akin to a dangerous "wobble" in the system's heartbeat. The core issue extends beyond simply keeping the lights on; it concerns the </w:t>
      </w:r>
      <w:r w:rsidDel="00000000" w:rsidR="00000000" w:rsidRPr="00000000">
        <w:rPr>
          <w:rFonts w:ascii="Google Sans Text" w:cs="Google Sans Text" w:eastAsia="Google Sans Text" w:hAnsi="Google Sans Text"/>
          <w:i w:val="1"/>
          <w:color w:val="1b1c1d"/>
          <w:sz w:val="24"/>
          <w:szCs w:val="24"/>
          <w:rtl w:val="0"/>
        </w:rPr>
        <w:t xml:space="preserve">quality</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stability</w:t>
      </w:r>
      <w:r w:rsidDel="00000000" w:rsidR="00000000" w:rsidRPr="00000000">
        <w:rPr>
          <w:rFonts w:ascii="Google Sans Text" w:cs="Google Sans Text" w:eastAsia="Google Sans Text" w:hAnsi="Google Sans Text"/>
          <w:i w:val="0"/>
          <w:color w:val="1b1c1d"/>
          <w:sz w:val="24"/>
          <w:szCs w:val="24"/>
          <w:rtl w:val="0"/>
        </w:rPr>
        <w:t xml:space="preserve"> of the electrical current that powers our society. Grid frequency, the precise rhythm at which alternating current flows, is the primary indicator of the instantaneous balance between electricity supply and demand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As traditional power generation sources with inherent stabilizing properties are displaced by new technologies, the system's natural ability to absorb shocks diminishes, increasing the risk of this destabilizing wobble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purpose of this analysis is to translate these complex engineering challenges into understandable risks and actionable insights for policymakers. The stability of the power grid is not merely a technical concern for engineers; it is a matter of national security, economic stability, and public safety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Ignoring the technical underpinnings of grid frequency invites potentially catastrophic consequences, including widespread blackouts triggered by cascading failures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Addressing this requires clear vision and a focus on fundamental principles, avoiding reactive measures or "agitation without vision; passion without poise, heat without light"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when confronting such intricate national infrastructure challenges.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Developing and managing complex systems, whether early banking automation like ERMA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or the modern power grid, necessitates a deep understanding of the interplay between technology, system design, and the operational context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grid is arguably the most complex machine ever built, and its fundamental operating principles are now being profoundly challenged by the energy transition. Just as the implementation of new technologies requires diagnosing and managing the social and operational context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integrating vast amounts of new energy resources requires a systemic understanding of their impact on the grid's physical dynamics. The transition to a new energy paradigm mirrors past technological shifts where managing complexity and unforeseen interactions was paramount. The increasing grid "wobble" is a critical symptom of these emergent complexities, demanding careful, systemic thinking rather than piecemeal fixes.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 The Grid's Heartbeat: Understanding Frequency Stability and the "Wobble"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Grid Frequency Fundamentals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Alternating current (AC) power systems, the standard for electricity delivery worldwide, operate based on a precise, shared rhythm known as frequency. In North America, this frequency is maintained at 60 Hertz (Hz)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while in Europe and much of the rest of the world, it is 50 Hz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frequency represents the rate at which the current alternates direction each second and serves as a direct, real-time indicator of the balance between electricity generation (supply) and electricity consumption (demand) across the entire interconnected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When generation exactly matches demand, the frequency remains stable at its nominal value (60 Hz or 50 Hz). Any imbalance causes the frequency to deviate: if demand exceeds supply, the frequency falls; if supply exceeds demand, the frequency rises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Maintaining this frequency within extremely tight tolerances, often just $\pm$0.5 Hz or less under normal conditions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is not merely an operational target but a fundamental requirement for the safe operation of electrical equipment and the stability of the entire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Significant deviations can damage sensitive electronics, cause protective devices to trigger, and ultimately lead to system collapse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Role of Inertia</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Historically, grid stability has been underpinned by a physical property called inertia. In the context of power systems, inertia refers to the kinetic energy stored in the massive rotating components of traditional synchronous generators – the turbines and rotors found in coal, natural gas, nuclear, and hydroelectric power plants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generators spin in lockstep, synchronized to the grid's frequency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Because of their immense rotating mass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they resist changes in their rotational speed.</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physical resistance acts like a giant shock absorber for the entire grid {2}. When a sudden disturbance occurs – such as the unexpected loss of a large power plant or a major transmission line failure – an imbalance between supply and demand is created, causing the grid frequency to change {3}. The kinetic energy stored in all the spinning synchronous generators across the interconnection is automatically released (if frequency falls) or absorbed (if frequency rises) to counteract this change {3}. This inherent physical response, known as the inertial response, slows down the rate at which the frequency changes {2}. This slowing effect is crucial because it provides precious seconds for the power system's control systems to detect the disturbance and initiate corrective actions, such as increasing output from other generators {22}. The amount of inertia a generator provides is related to its physical design and size, often quantified by the inertia constant 'H' {1}, which represents the time (in seconds) a generator could supply its rated power solely from its stored kinetic energy: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H=S21​Jω2​</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J is the moment of inertia, ω is the nominal rotational speed, and S is the generator's MVA rating {1}. Typical values for H range from 2 to 8 seconds {1}.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Challenge of Declining Inertia</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ongoing energy transition involves a massive shift away from traditional synchronous generators towards inverter-based resources (IBRs), primarily wind turbines, solar photovoltaic (PV) panels, and battery energy storage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These modern resources connect to the grid through power electronic inverters, which convert the direct current (DC) produced (by solar panels or batteries) or variable AC (from wind turbines) into the grid-synchronous AC voltage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Crucially, these inverters decouple the energy source from the grid's frequency dynamics; they lack the large, spinning physical mass directly synchronized with the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Consequently, as the proportion of IBRs on the grid increases, the total system inertia provided by the remaining synchronous generators naturally declines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reduction in physical inertia weakens the grid's inherent ability to resist frequency changes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Explaining the "Wobble" - RoCoF</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direct consequence of declining inertia is an increase in the Rate of Change of Frequency (RoCoF), typically measured in Hertz per second (Hz/s)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In a power system with low inertia, the </w:t>
      </w:r>
      <w:r w:rsidDel="00000000" w:rsidR="00000000" w:rsidRPr="00000000">
        <w:rPr>
          <w:rFonts w:ascii="Google Sans Text" w:cs="Google Sans Text" w:eastAsia="Google Sans Text" w:hAnsi="Google Sans Text"/>
          <w:i w:val="1"/>
          <w:color w:val="1b1c1d"/>
          <w:sz w:val="24"/>
          <w:szCs w:val="24"/>
          <w:rtl w:val="0"/>
        </w:rPr>
        <w:t xml:space="preserve">exact same</w:t>
      </w:r>
      <w:r w:rsidDel="00000000" w:rsidR="00000000" w:rsidRPr="00000000">
        <w:rPr>
          <w:rFonts w:ascii="Google Sans Text" w:cs="Google Sans Text" w:eastAsia="Google Sans Text" w:hAnsi="Google Sans Text"/>
          <w:i w:val="0"/>
          <w:color w:val="1b1c1d"/>
          <w:sz w:val="24"/>
          <w:szCs w:val="24"/>
          <w:rtl w:val="0"/>
        </w:rPr>
        <w:t xml:space="preserve"> disturbance (e.g., the loss of a 1,000 MW power plant) will cause the grid frequency to change </w:t>
      </w:r>
      <w:r w:rsidDel="00000000" w:rsidR="00000000" w:rsidRPr="00000000">
        <w:rPr>
          <w:rFonts w:ascii="Google Sans Text" w:cs="Google Sans Text" w:eastAsia="Google Sans Text" w:hAnsi="Google Sans Text"/>
          <w:i w:val="1"/>
          <w:color w:val="1b1c1d"/>
          <w:sz w:val="24"/>
          <w:szCs w:val="24"/>
          <w:rtl w:val="0"/>
        </w:rPr>
        <w:t xml:space="preserve">much more rapidly</w:t>
      </w:r>
      <w:r w:rsidDel="00000000" w:rsidR="00000000" w:rsidRPr="00000000">
        <w:rPr>
          <w:rFonts w:ascii="Google Sans Text" w:cs="Google Sans Text" w:eastAsia="Google Sans Text" w:hAnsi="Google Sans Text"/>
          <w:i w:val="0"/>
          <w:color w:val="1b1c1d"/>
          <w:sz w:val="24"/>
          <w:szCs w:val="24"/>
          <w:rtl w:val="0"/>
        </w:rPr>
        <w:t xml:space="preserve"> (a higher RoCoF) than it would in a high-inertia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Imagine trying to stop a lightweight bicycle versus a heavy freight train; the bicycle's speed changes much more quickly for the same braking force. Similarly, a low-inertia grid has less "weight" resisting frequency changes.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High RoCoF represents the dangerous "wobble" and poses several critical threats to grid stability:</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Protection System Maloperation:</w:t>
      </w:r>
      <w:r w:rsidDel="00000000" w:rsidR="00000000" w:rsidRPr="00000000">
        <w:rPr>
          <w:rFonts w:ascii="Google Sans Text" w:cs="Google Sans Text" w:eastAsia="Google Sans Text" w:hAnsi="Google Sans Text"/>
          <w:i w:val="0"/>
          <w:color w:val="1b1c1d"/>
          <w:sz w:val="24"/>
          <w:szCs w:val="24"/>
          <w:rtl w:val="0"/>
        </w:rPr>
        <w:t xml:space="preserve"> Many grid protection relays, particularly older ones or those designed for high-inertia conditions, use frequency and its rate of change to detect abnormal conditions like islanding (Loss-of-Mains)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Very high RoCoF values, even during manageable disturbances, can be misinterpreted by these relays, causing them to trip generators or disconnect loads unnecessarily, potentially worsening the initial problem or initiating a cascade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Spurious tripping of RoCoF relays is a known issue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Control System Response Time:</w:t>
      </w:r>
      <w:r w:rsidDel="00000000" w:rsidR="00000000" w:rsidRPr="00000000">
        <w:rPr>
          <w:rFonts w:ascii="Google Sans Text" w:cs="Google Sans Text" w:eastAsia="Google Sans Text" w:hAnsi="Google Sans Text"/>
          <w:i w:val="0"/>
          <w:color w:val="1b1c1d"/>
          <w:sz w:val="24"/>
          <w:szCs w:val="24"/>
          <w:rtl w:val="0"/>
        </w:rPr>
        <w:t xml:space="preserve"> Automatic grid control systems need time to measure the frequency deviation and command generators to adjust their output. If the frequency changes too rapidly, these control loops may not be able to react effectively before frequency limits are breached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Cascading Failure Trigger:</w:t>
      </w:r>
      <w:r w:rsidDel="00000000" w:rsidR="00000000" w:rsidRPr="00000000">
        <w:rPr>
          <w:rFonts w:ascii="Google Sans Text" w:cs="Google Sans Text" w:eastAsia="Google Sans Text" w:hAnsi="Google Sans Text"/>
          <w:i w:val="0"/>
          <w:color w:val="1b1c1d"/>
          <w:sz w:val="24"/>
          <w:szCs w:val="24"/>
          <w:rtl w:val="0"/>
        </w:rPr>
        <w:t xml:space="preserve"> Rapid frequency decline can quickly trigger under-frequency load shedding (UFLS) schemes, which are designed as a last resort to prevent total collapse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However, high RoCoF might activate these schemes more severely or prematurely than intended. Similarly, rapid frequency changes can cause generators' own protection systems to trip them offline, further exacerbating the imbalance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Stress on Remaining Generators:</w:t>
      </w:r>
      <w:r w:rsidDel="00000000" w:rsidR="00000000" w:rsidRPr="00000000">
        <w:rPr>
          <w:rFonts w:ascii="Google Sans Text" w:cs="Google Sans Text" w:eastAsia="Google Sans Text" w:hAnsi="Google Sans Text"/>
          <w:i w:val="0"/>
          <w:color w:val="1b1c1d"/>
          <w:sz w:val="24"/>
          <w:szCs w:val="24"/>
          <w:rtl w:val="0"/>
        </w:rPr>
        <w:t xml:space="preserve"> High RoCoF imposes significant mechanical and electrical stress on the remaining synchronous generators as they try to counteract the imbalance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This increases the risk of these generators also tripping offline.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challenge is compounded by the difficulty in accurately measuring RoCoF itself, especially during disturbed grid conditions. Existing standards may have limitations, and reliable measurement under real-world conditions requires specific algorithms and potentially new instrumentation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Ensuring that protection and control systems can accurately perceive and reliably respond to high RoCoF is a critical prerequisite for stable operation in low-inertia environments.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Primary Frequency Control (PFC)</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grid's first automatic defense against frequency deviations is Primary Frequency Control (PFC), also known as frequency response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response comes primarily from the governors of synchronous generators, which automatically sense changes in rotational speed (frequency) and adjust the generator's power output within seconds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If frequency drops, governors open valves or gates to increase power; if frequency rises, they reduce power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Some advanced IBRs can also be programmed to provide fast frequency response (FFR)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PFC acts proportionally to the frequency deviation (a characteristic called "droop") and aims to arrest the frequency change and stabilize the system at a new, slightly deviated frequency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It does not, by itself, return the frequency to its nominal value (50 or 60 Hz); that task falls to slower, secondary control actions. The collective PFC response from all participating generators across the interconnection determines how much the frequency deviates for a given imbalance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effectiveness of PFC fundamentally relies on the frequency not changing </w:t>
      </w:r>
      <w:r w:rsidDel="00000000" w:rsidR="00000000" w:rsidRPr="00000000">
        <w:rPr>
          <w:rFonts w:ascii="Google Sans Text" w:cs="Google Sans Text" w:eastAsia="Google Sans Text" w:hAnsi="Google Sans Text"/>
          <w:i w:val="1"/>
          <w:color w:val="1b1c1d"/>
          <w:sz w:val="24"/>
          <w:szCs w:val="24"/>
          <w:rtl w:val="0"/>
        </w:rPr>
        <w:t xml:space="preserve">too</w:t>
      </w:r>
      <w:r w:rsidDel="00000000" w:rsidR="00000000" w:rsidRPr="00000000">
        <w:rPr>
          <w:rFonts w:ascii="Google Sans Text" w:cs="Google Sans Text" w:eastAsia="Google Sans Text" w:hAnsi="Google Sans Text"/>
          <w:i w:val="0"/>
          <w:color w:val="1b1c1d"/>
          <w:sz w:val="24"/>
          <w:szCs w:val="24"/>
          <w:rtl w:val="0"/>
        </w:rPr>
        <w:t xml:space="preserve"> quickly. The mechanical systems involved in governor response have inherent delays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If RoCoF is excessively high due to low inertia, the frequency could plunge past critical thresholds before PFC can fully deploy or stabilize the situation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Therefore, declining inertia directly degrades the performance and reliability of this essential, automatic control layer, highlighting that the challenge extends beyond simply having enough generation capacity to impacting the fundamental control mechanisms designed under assumptions of historically abundant inertia.</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III. When the Wobble Becomes a Quake: Cascading Failures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Mechanism of Cascading Failures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cascading failure is arguably the most severe threat to power grid reliability, capable of transforming a localized disturbance into a widespread blackout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It is characterized by a sequence of dependent and interacting component outages that spread through the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process typically unfolds as follows:</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Initiating Event:</w:t>
      </w:r>
      <w:r w:rsidDel="00000000" w:rsidR="00000000" w:rsidRPr="00000000">
        <w:rPr>
          <w:rFonts w:ascii="Google Sans Text" w:cs="Google Sans Text" w:eastAsia="Google Sans Text" w:hAnsi="Google Sans Text"/>
          <w:i w:val="0"/>
          <w:color w:val="1b1c1d"/>
          <w:sz w:val="24"/>
          <w:szCs w:val="24"/>
          <w:rtl w:val="0"/>
        </w:rPr>
        <w:t xml:space="preserve"> The cascade begins with an initial disturbance, which could be a transmission line fault (e.g., due to lightning, vegetation contact, or equipment failure), the sudden trip of a large generator, a cyber or physical attack, or even human error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Power Redistribution:</w:t>
      </w:r>
      <w:r w:rsidDel="00000000" w:rsidR="00000000" w:rsidRPr="00000000">
        <w:rPr>
          <w:rFonts w:ascii="Google Sans Text" w:cs="Google Sans Text" w:eastAsia="Google Sans Text" w:hAnsi="Google Sans Text"/>
          <w:i w:val="0"/>
          <w:color w:val="1b1c1d"/>
          <w:sz w:val="24"/>
          <w:szCs w:val="24"/>
          <w:rtl w:val="0"/>
        </w:rPr>
        <w:t xml:space="preserve"> The loss of a grid element forces electrical power to instantaneously reroute itself across the remaining available paths, governed by the laws of physics.</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Overloading:</w:t>
      </w:r>
      <w:r w:rsidDel="00000000" w:rsidR="00000000" w:rsidRPr="00000000">
        <w:rPr>
          <w:rFonts w:ascii="Google Sans Text" w:cs="Google Sans Text" w:eastAsia="Google Sans Text" w:hAnsi="Google Sans Text"/>
          <w:i w:val="0"/>
          <w:color w:val="1b1c1d"/>
          <w:sz w:val="24"/>
          <w:szCs w:val="24"/>
          <w:rtl w:val="0"/>
        </w:rPr>
        <w:t xml:space="preserve"> This redistribution can cause power flows on other transmission lines or transformers to exceed their operational limits (thermal or stability limits).</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Protective Tripping:</w:t>
      </w:r>
      <w:r w:rsidDel="00000000" w:rsidR="00000000" w:rsidRPr="00000000">
        <w:rPr>
          <w:rFonts w:ascii="Google Sans Text" w:cs="Google Sans Text" w:eastAsia="Google Sans Text" w:hAnsi="Google Sans Text"/>
          <w:i w:val="0"/>
          <w:color w:val="1b1c1d"/>
          <w:sz w:val="24"/>
          <w:szCs w:val="24"/>
          <w:rtl w:val="0"/>
        </w:rPr>
        <w:t xml:space="preserve"> Protective relays detect these overloads or other abnormal conditions (like low voltage or high RoCoF) and automatically trip the affected components offline to prevent damage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Further Redistribution &amp; Propagation:</w:t>
      </w:r>
      <w:r w:rsidDel="00000000" w:rsidR="00000000" w:rsidRPr="00000000">
        <w:rPr>
          <w:rFonts w:ascii="Google Sans Text" w:cs="Google Sans Text" w:eastAsia="Google Sans Text" w:hAnsi="Google Sans Text"/>
          <w:i w:val="0"/>
          <w:color w:val="1b1c1d"/>
          <w:sz w:val="24"/>
          <w:szCs w:val="24"/>
          <w:rtl w:val="0"/>
        </w:rPr>
        <w:t xml:space="preserve"> Each subsequent trip forces further power redistribution, potentially overloading yet more components in a chain reaction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System Separation or Collapse:</w:t>
      </w:r>
      <w:r w:rsidDel="00000000" w:rsidR="00000000" w:rsidRPr="00000000">
        <w:rPr>
          <w:rFonts w:ascii="Google Sans Text" w:cs="Google Sans Text" w:eastAsia="Google Sans Text" w:hAnsi="Google Sans Text"/>
          <w:i w:val="0"/>
          <w:color w:val="1b1c1d"/>
          <w:sz w:val="24"/>
          <w:szCs w:val="24"/>
          <w:rtl w:val="0"/>
        </w:rPr>
        <w:t xml:space="preserve"> If the cascade is not arrested, it can lead to the uncontrolled separation of the grid into unstable "islands," widespread voltage collapse (where voltage drops too low to support power transfer), or a complete blackout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process involves complex dynamics operating across multiple timescales, from the millisecond response of protection systems to the slower thermal effects on overloaded lines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Low Inertia Link</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Declining system inertia and the resulting higher RoCoF significantly increase the probability and potential severity of cascading failures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 connection operates through several mechanisms:</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Reduced Resilience to Initial Shock:</w:t>
      </w:r>
      <w:r w:rsidDel="00000000" w:rsidR="00000000" w:rsidRPr="00000000">
        <w:rPr>
          <w:rFonts w:ascii="Google Sans Text" w:cs="Google Sans Text" w:eastAsia="Google Sans Text" w:hAnsi="Google Sans Text"/>
          <w:i w:val="0"/>
          <w:color w:val="1b1c1d"/>
          <w:sz w:val="24"/>
          <w:szCs w:val="24"/>
          <w:rtl w:val="0"/>
        </w:rPr>
        <w:t xml:space="preserve"> Inertia acts as the grid's inherent braking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Lower inertia means the system is less able to absorb the initial shock of a disturbance. The frequency deviates faster and further for the same event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placing immediate stress on the remaining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Increased Risk of Protection Maloperation:</w:t>
      </w:r>
      <w:r w:rsidDel="00000000" w:rsidR="00000000" w:rsidRPr="00000000">
        <w:rPr>
          <w:rFonts w:ascii="Google Sans Text" w:cs="Google Sans Text" w:eastAsia="Google Sans Text" w:hAnsi="Google Sans Text"/>
          <w:i w:val="0"/>
          <w:color w:val="1b1c1d"/>
          <w:sz w:val="24"/>
          <w:szCs w:val="24"/>
          <w:rtl w:val="0"/>
        </w:rPr>
        <w:t xml:space="preserve"> As discussed, high RoCoF can confuse protection relays, leading to incorrect tripping that unnecessarily removes healthy equipment from service, thereby propagating the cascade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Faster Activation of Emergency Schemes:</w:t>
      </w:r>
      <w:r w:rsidDel="00000000" w:rsidR="00000000" w:rsidRPr="00000000">
        <w:rPr>
          <w:rFonts w:ascii="Google Sans Text" w:cs="Google Sans Text" w:eastAsia="Google Sans Text" w:hAnsi="Google Sans Text"/>
          <w:i w:val="0"/>
          <w:color w:val="1b1c1d"/>
          <w:sz w:val="24"/>
          <w:szCs w:val="24"/>
          <w:rtl w:val="0"/>
        </w:rPr>
        <w:t xml:space="preserve"> Rapid frequency decline can trigger Under-Frequency Load Shedding (UFLS) relays more quickly or across wider areas than anticipated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While UFLS is designed to save the grid, premature or excessive activation due to high RoCoF could destabilize the system or lead to unnecessary customer outages. Similarly, generator protection systems may trip units offline faster during steep frequency drops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Amplified Interactions:</w:t>
      </w:r>
      <w:r w:rsidDel="00000000" w:rsidR="00000000" w:rsidRPr="00000000">
        <w:rPr>
          <w:rFonts w:ascii="Google Sans Text" w:cs="Google Sans Text" w:eastAsia="Google Sans Text" w:hAnsi="Google Sans Text"/>
          <w:i w:val="0"/>
          <w:color w:val="1b1c1d"/>
          <w:sz w:val="24"/>
          <w:szCs w:val="24"/>
          <w:rtl w:val="0"/>
        </w:rPr>
        <w:t xml:space="preserve"> The combination of faster frequency dynamics, potentially more sensitive IBR responses (or lack thereof), and the behavior of new large loads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creates a more complex and potentially volatile environment where interactions between components are harder to predict and control, increasing the likelihood that an initial event triggers unforeseen follow-on failures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Historical Cautionary Tales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devastating consequences of cascading failures are not merely theoretical. Several large-scale blackouts serve as stark reminders:</w:t>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2003 Northeast Blackout:</w:t>
      </w:r>
      <w:r w:rsidDel="00000000" w:rsidR="00000000" w:rsidRPr="00000000">
        <w:rPr>
          <w:rFonts w:ascii="Google Sans Text" w:cs="Google Sans Text" w:eastAsia="Google Sans Text" w:hAnsi="Google Sans Text"/>
          <w:i w:val="0"/>
          <w:color w:val="1b1c1d"/>
          <w:sz w:val="24"/>
          <w:szCs w:val="24"/>
          <w:rtl w:val="0"/>
        </w:rPr>
        <w:t xml:space="preserve"> This event, affecting 50 million people in the US and Canada, began with transmission lines sagging into trees in Ohio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Compounded by inadequate situational awareness (control room software failures) and subsequent line and generator trips due to overloads and voltage issues, the cascade spread rapidly across multiple states and provinces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It highlighted vulnerabilities in vegetation management, operator training, real-time tools, and protection system coordination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Other Major Events:</w:t>
      </w:r>
      <w:r w:rsidDel="00000000" w:rsidR="00000000" w:rsidRPr="00000000">
        <w:rPr>
          <w:rFonts w:ascii="Google Sans Text" w:cs="Google Sans Text" w:eastAsia="Google Sans Text" w:hAnsi="Google Sans Text"/>
          <w:i w:val="0"/>
          <w:color w:val="1b1c1d"/>
          <w:sz w:val="24"/>
          <w:szCs w:val="24"/>
          <w:rtl w:val="0"/>
        </w:rPr>
        <w:t xml:space="preserve"> History records numerous other significant cascading blackouts, including the 1965 Northeast blackout, the 1977 New York City blackout, two major blackouts in the Western US (WECC) in 1996, a large event in Brazil in 2009, and another WECC blackout in 2011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These events underscore the persistent nature of this risk, with analysis suggesting that over half of major blackouts involve cascading elements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Modern Cascade Characteristics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Research and analysis of recent events show that cascading failures do not necessarily spread like simple dominoes falling in sequence along adjacent lines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Due to the complex physics of power flow across interconnected networks, the failure of a component in one location can cause immediate stress and potential failure of components located hundreds of miles away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non-contiguous propagation makes predicting the path of a cascade extremely difficult and complicates the development of effective mitigation strategies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Examples like the 2012 Indian blackout and the 2011 Southern California event demonstrated this geographically dispersed pattern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Role of Protection Systems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 protection systems (relays, circuit breakers, special protection schemes) are essential for detecting and isolating faults rapidly to prevent equipment damage and limit the scope of outages. However, they represent a double-edged sword in the context of cascades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While crucial for initial fault clearing, they can inadvertently contribute to the propagation of failures if they:</w:t>
      </w:r>
    </w:p>
    <w:p w:rsidR="00000000" w:rsidDel="00000000" w:rsidP="00000000" w:rsidRDefault="00000000" w:rsidRPr="00000000" w14:paraId="0000003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Misoperate:</w:t>
      </w:r>
      <w:r w:rsidDel="00000000" w:rsidR="00000000" w:rsidRPr="00000000">
        <w:rPr>
          <w:rFonts w:ascii="Google Sans Text" w:cs="Google Sans Text" w:eastAsia="Google Sans Text" w:hAnsi="Google Sans Text"/>
          <w:i w:val="0"/>
          <w:color w:val="1b1c1d"/>
          <w:sz w:val="24"/>
          <w:szCs w:val="24"/>
          <w:rtl w:val="0"/>
        </w:rPr>
        <w:t xml:space="preserve"> Fail to trip when needed, or trip when not needed (e.g., due to high RoCoF or complex fault conditions)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Have Incorrect Settings ("Hidden Failures"):</w:t>
      </w:r>
      <w:r w:rsidDel="00000000" w:rsidR="00000000" w:rsidRPr="00000000">
        <w:rPr>
          <w:rFonts w:ascii="Google Sans Text" w:cs="Google Sans Text" w:eastAsia="Google Sans Text" w:hAnsi="Google Sans Text"/>
          <w:i w:val="0"/>
          <w:color w:val="1b1c1d"/>
          <w:sz w:val="24"/>
          <w:szCs w:val="24"/>
          <w:rtl w:val="0"/>
        </w:rPr>
        <w:t xml:space="preserve"> Settings may be inappropriate for current system conditions or may not coordinate properly with other devices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Lack Coordination:</w:t>
      </w:r>
      <w:r w:rsidDel="00000000" w:rsidR="00000000" w:rsidRPr="00000000">
        <w:rPr>
          <w:rFonts w:ascii="Google Sans Text" w:cs="Google Sans Text" w:eastAsia="Google Sans Text" w:hAnsi="Google Sans Text"/>
          <w:i w:val="0"/>
          <w:color w:val="1b1c1d"/>
          <w:sz w:val="24"/>
          <w:szCs w:val="24"/>
          <w:rtl w:val="0"/>
        </w:rPr>
        <w:t xml:space="preserve"> Actions of protection systems in different areas or voltage levels may not be adequately coordinated, leading to unexpected system responses.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NERC disturbance reports indicate that around 70% of major grid disturbances involve issues with protection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Consequently, NERC has established numerous standards aimed at ensuring proper design, setting, maintenance, and coordination of protection systems, including PRC-002 (Disturbance Monitoring), PRC-023 (Relay Loadability), and PRC-024 (Generator Protection Settings)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However, ensuring these systems function correctly under the increasingly complex and dynamic conditions of the evolving grid remains a critical challenge. The interaction between declining inertia, increasing system stress from variable renewables and new load types, and the inherent complexity of protection systems creates a heightened risk profile where cascades become more likely. Traditional planning often focuses on single "N-1" contingencies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but real-world cascades demonstrate the potential for multiple, sequential "N-k" failures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 scenario potentially underestimated in standard reliability assessments, especially in a rapidly changing grid.</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IV. Interconnections Under Stress: US Vulnerabilities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 Grid Structure Overview</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bulk power system of the contiguous United States is primarily composed of three large, distinct electrical regions known as interconnections: the Eastern Interconnection, the Western Interconnection, and the Electric Reliability Council of Texas (ERCOT) Interconnection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These interconnections operate largely independently, meaning they are not synchronized with each other; power transfer between them is limited and occurs via specialized High Voltage Direct Current (HVDC) 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Within the Eastern and Western Interconnections, the complex task of maintaining the real-time balance between electricity generation and consumption is managed by numerous Balancing Authorities (BAs)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There are currently 31 BAs in the Eastern Interconnection and 34 in the Western Interconnection, while ERCOT functions as a single BA for its region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These BAs range from large Independent System Operators (ISOs) and Regional Transmission Organizations (RTOs) managing wholesale markets to individual utilities in other areas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 North American Electric Reliability Corporation (NERC), under oversight from the Federal Energy Regulatory Commission (FERC) and Canadian authorities, develops and enforces mandatory reliability standards across all these entities to ensure the stability and security of the bulk power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fundamental physics of frequency stability and inertia apply across all interconnections, the specific vulnerabilities and operational challenges differ significantly due to variations in geography, generation mix, load patterns, market structures, and regulatory environments. The following table provides a high-level snapshot: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US Interconnection Vulnerability Snapshot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Eastern Interconnection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Western Interconnection (WECC)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ERCOT (Texas)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Characteristics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Largest interconnection; diverse generation mix; multiple RTOs/ISOs &amp; traditional utilities; 31 BAs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Geographically vast; high hydro &amp; growing solar/wind; significant transmission distances; 34 BAs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Single state, single BA; isolated; high wind/solar penetration; market-driven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Major Challenges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Aging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0"/>
                <w:szCs w:val="20"/>
                <w:shd w:fill="auto" w:val="clear"/>
                <w:rtl w:val="0"/>
              </w:rPr>
              <w:t xml:space="preserve">}; Managing large, voltage-sensitive loads (data centers)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0"/>
                <w:szCs w:val="20"/>
                <w:shd w:fill="auto" w:val="clear"/>
                <w:rtl w:val="0"/>
              </w:rPr>
              <w:t xml:space="preserve">}; Transmission congestion; Cybersecurity threats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Rapid load growth (data centers)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0"/>
                <w:szCs w:val="20"/>
                <w:shd w:fill="auto" w:val="clear"/>
                <w:rtl w:val="0"/>
              </w:rPr>
              <w:t xml:space="preserve">}; Resource adequacy concerns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0"/>
                <w:szCs w:val="20"/>
                <w:shd w:fill="auto" w:val="clear"/>
                <w:rtl w:val="0"/>
              </w:rPr>
              <w:t xml:space="preserve">}; IBR performance &amp; integration issues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0"/>
                <w:szCs w:val="20"/>
                <w:shd w:fill="auto" w:val="clear"/>
                <w:rtl w:val="0"/>
              </w:rPr>
              <w:t xml:space="preserve">}; Vast interconnection queue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0"/>
                <w:szCs w:val="20"/>
                <w:shd w:fill="auto" w:val="clear"/>
                <w:rtl w:val="0"/>
              </w:rPr>
              <w:t xml:space="preserve">}; Wildfire risks; Transmission constraints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Extreme weather impacts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 Accelerating demand growth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 Balancing high IBR penetration with thermal retirements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0"/>
                <w:szCs w:val="20"/>
                <w:shd w:fill="auto" w:val="clear"/>
                <w:rtl w:val="0"/>
              </w:rPr>
              <w:t xml:space="preserve">}; Frequency response adequacy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0"/>
                <w:szCs w:val="20"/>
                <w:shd w:fill="auto" w:val="clear"/>
                <w:rtl w:val="0"/>
              </w:rPr>
              <w:t xml:space="preserve">}; Ensuring IBR ride-through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Relevant Snippets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bl>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Challenges are not mutually exclusive and exist to varying degrees in all interconnections.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Case Study: Eastern Interconnection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emerging challenge in the Eastern Interconnection is the rapid growth of large electrical loads with unique operational characteristics, particularly data centers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These facilities consume vast amounts of power and can exhibit high sensitivity to grid voltage disturbances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 NERC incident review detailed a concerning event in July 2024 where a fault on a 230 kilovolt (kV) transmission line triggered the simultaneous, unexpected disconnection of approximately 1,500 megawatts (MW) of data center load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This load was not shed by utility protection systems but by the data centers' own internal protection mechanisms transferring load to backup power systems in response to the voltage dip during the fault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incident highlights a critical vulnerability. The sudden loss of such a large block of load causes an immediate imbalance, leading to a rise in both system frequency and voltage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In the July 2024 event, operators were able to manage the voltage rise, and the frequency increase was not problematic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However, NERC explicitly warns that power systems have historically been planned and operated to withstand the loss of large </w:t>
      </w:r>
      <w:r w:rsidDel="00000000" w:rsidR="00000000" w:rsidRPr="00000000">
        <w:rPr>
          <w:rFonts w:ascii="Google Sans Text" w:cs="Google Sans Text" w:eastAsia="Google Sans Text" w:hAnsi="Google Sans Text"/>
          <w:i w:val="1"/>
          <w:color w:val="1b1c1d"/>
          <w:sz w:val="24"/>
          <w:szCs w:val="24"/>
          <w:rtl w:val="0"/>
        </w:rPr>
        <w:t xml:space="preserve">generators</w:t>
      </w:r>
      <w:r w:rsidDel="00000000" w:rsidR="00000000" w:rsidRPr="00000000">
        <w:rPr>
          <w:rFonts w:ascii="Google Sans Text" w:cs="Google Sans Text" w:eastAsia="Google Sans Text" w:hAnsi="Google Sans Text"/>
          <w:i w:val="0"/>
          <w:color w:val="1b1c1d"/>
          <w:sz w:val="24"/>
          <w:szCs w:val="24"/>
          <w:rtl w:val="0"/>
        </w:rPr>
        <w:t xml:space="preserve">, not the sudden, simultaneous loss of large </w:t>
      </w:r>
      <w:r w:rsidDel="00000000" w:rsidR="00000000" w:rsidRPr="00000000">
        <w:rPr>
          <w:rFonts w:ascii="Google Sans Text" w:cs="Google Sans Text" w:eastAsia="Google Sans Text" w:hAnsi="Google Sans Text"/>
          <w:i w:val="1"/>
          <w:color w:val="1b1c1d"/>
          <w:sz w:val="24"/>
          <w:szCs w:val="24"/>
          <w:rtl w:val="0"/>
        </w:rPr>
        <w:t xml:space="preserve">loads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As data center concentration grows, particularly in areas like Virginia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potential magnitude of such simultaneous load loss increases, posing a growing risk of frequency and voltage instability that could challenge system operators and potentially trigger wider disturbances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This requires new approaches to planning, modeling, and operational coordination, including understanding the precise ride-through capabilities and responses of these large loads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establishment of NERC's Large Load Task Force (LLTF) underscores the seriousness of this emerging issue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rise of these loads introduces a new disturbance type that interacts negatively with the underlying trend of declining inertia, potentially amplifying instability risks beyond those captured by traditional generation-focused contingency planning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Case Study: Western Interconnection (WECC)</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Western Interconnection, encompassing a vast geographical area from the Rockies to the Pacific coast, faces its own set of pressing challenges. Projections show dramatic increases in electricity demand over the next decade, with load growth forecasts nearly doubling in recent assessments, largely driven by the proliferation of data centers and other large industrial loads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rapid demand growth puts immense pressure on resource adequacy – the ability to consistently meet demand, especially during peak periods or extreme weather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Ensuring adequacy is complicated by the increasing variability of the generation mix (with significant wind and solar additions) and uncertainties surrounding the retirement schedule of existing thermal plants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Studies indicate the region needs aggressive development of new resources to maintain adequacy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WECC has experienced issues with the performance of IBRs during grid disturbances. NERC and WECC have investigated events where large amounts of solar PV or battery storage unexpectedly tripped offline or reduced output during faults, often due to inappropriate protection settings or control responses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A NERC alert identified a significant capacity of solar IBRs with settings that increase their risk of tripping during disturbances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Compounding this is the issue of numerous smaller IBRs falling below current NERC registration thresholds, meaning their characteristics and behavior may not be fully visible to system planners and operators, creating potential blind spots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Perhaps the most significant bottleneck is the massive backlog in the interconnection queue – the waiting list for new generation and storage projects seeking to connect to the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The typical time from request to operation has ballooned from under two years in 2008 to five years by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backlog, driven by complex study processes, cost allocation issues, and the sheer volume of requests, severely hinders the deployment of both the renewable resources needed to meet climate goals and demand growth, and potentially the stabilizing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needed to manage the grid impacts of those renewables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delay risks forcing the grid to operate in a prolonged transitional state with high IBR levels but insufficient mitigating technologies or transmission upgrades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potentially elevating reliability risks. While FERC Order 2023 aims to streamline the process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the scale of the challenge remains immense. Key risks identified specifically for WECC include cybersecurity, the changing resource mix, physical security, and resource adequacy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Case Study: ERCOT (Texas)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ERCOT interconnection, operating solely within Texas and largely isolated from the Eastern and Western grids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presents a unique case study. It faces rapidly accelerating demand growth driven by population and economic expansion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Simultaneously, its generation mix is transforming at high speed, with massive additions of wind, solar, and battery storage significantly outpacing new dispatchable thermal generation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As of May 2024, IBRs constituted 43% of installed capacity, with renewable penetration hitting records above 75% at certain times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This rapid shift, coupled with an aging thermal fleet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creates significant operational challenges.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ERCOT is experiencing an increasing number of hours annually where electricity demand exceeds the available capacity from dispatchable resources, heightening reliance on intermittent wind and solar, and duration-limited batteries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increases the grid's risk profile, particularly during periods of low wind/solar output, battery depletion, or extreme weather events, as tragically demonstrated in recent years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Consequently, ERCOT is focusing heavily on strengthening performance requirements for IBRs, particularly their ability to "ride through" grid disturbances without tripping offline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and studying how to ensure adequate frequency response (like Primary Frequency Response, PFR) in a system increasingly dominated by IBRs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ERCOT's experience serves as a potential preview for other regions, demonstrating the intense interplay between resource adequacy, operational reliability under stress (especially weather extremes), and the critical need for robust performance from new technologies as the generation mix shifts dramatically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Common US Threats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Across all interconnections, common threats persist. Physical security vulnerabilities at substations and other critical facilities remain a concern, with risks ranging from vandalism and theft (e.g., copper from transformers) to coordinated attacks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Aging infrastructure, if not adequately maintained or upgraded, creates weak points susceptible to failure or exploitation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Cybersecurity threats against grid control systems (SCADA) are growing in frequency and sophistication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necessitating stringent adherence to standards like the NERC Critical Infrastructure Protection (CIP) framework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Finally, high-impact, low-frequency threats like electromagnetic pulses (EMP), whether from solar flares or weaponry, pose a potentially catastrophic risk to the grid's electronic components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 The Iberian Example and EMEA Interconnections: Lessons from Europe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Case Study: Spain &amp; Portugal (Iberian Peninsula)</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Iberian Peninsula (Spain and Portugal) offers valuable lessons on the challenges of integrating very high levels of renewable energy within a geographically constrained area. Both countries have aggressively pursued renewable energy development, achieving high penetrations of wind and solar power, significantly exceeding the European average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In 2022, renewables accounted for 51% of total power generation in Spain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peninsula functions largely as an "electrical island"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Its interconnection capacity with France, the gateway to the wider Continental European grid, remains severely limited, falling far short of the European Union's targets (originally 10%, now 15% of installed capacity)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Current capacity allows for only about 2,800 MW of exchange with France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representing roughly 6% of Spain's capacity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although interconnection with Portugal is stronger, approaching 3,000 MW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limited external connectivity, combined with internal transmission bottlenecks often occurring because renewable generation is concentrated in areas far from major consumption centers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has significant negative consequences. When renewable generation is high, particularly in sunny and windy conditions, the grid frequently lacks the capacity to either transmit the power domestically to where it's needed or export the surplus to France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This forces the transmission system operator (TSO), Red Eléctrica de España (REE), to curtail large amounts of clean, inexpensive renewable energy – essentially wasting it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Curtailment rose more than tenfold between 2018 and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situation creates economic inefficiencies and hinders decarbonization efforts. Managing these grid constraints requires costly interventions through specific markets (like Spain's "Technical Restrictions" market), where generators (often gas-fired plants) are paid to adjust their output to alleviate congestion or provide voltage support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These constraint management costs added €1.3 billion to Spanish power system costs in 2022, ultimately borne by consumers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Furthermore, curtailing renewables often necessitates replacing that energy with fossil fuel generation elsewhere in the system, increasing overall emissions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The Iberian experience starkly demonstrates that investing heavily in renewable generation capacity without concurrently investing in sufficient transmission infrastructure (both internal and cross-border) leads to significant operational challenges, wasted resources, increased costs, and slower progress towards climate goals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It underscores that robust interconnection is not just beneficial but a prerequisite for efficiently integrating large shares of variable renewables. Efforts within the Iberian Electricity Market (MIBEL) framework and EU initiatives aim to increase interconnection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but progress has been slow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Continental Europe (ENTSO-E): Scale and Recent Events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Continental Europe Synchronous Area (CESA), coordinated by the European Network of Transmission System Operators for Electricity (ENTSO-E), represents one of the world's largest interconnected power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It synchronizes the grids of over 30 countries, serving more than 400 million people with a common 50 Hz frequency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A map reveals its vast geographical scope and complex network of high-voltage lines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its size and sophistication, CESA is not immune to major disturbances. Several recent events highlight the growing stresses on the system:</w:t>
      </w:r>
    </w:p>
    <w:p w:rsidR="00000000" w:rsidDel="00000000" w:rsidP="00000000" w:rsidRDefault="00000000" w:rsidRPr="00000000" w14:paraId="0000006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January 2021 System Split:</w:t>
      </w:r>
      <w:r w:rsidDel="00000000" w:rsidR="00000000" w:rsidRPr="00000000">
        <w:rPr>
          <w:rFonts w:ascii="Google Sans Text" w:cs="Google Sans Text" w:eastAsia="Google Sans Text" w:hAnsi="Google Sans Text"/>
          <w:i w:val="0"/>
          <w:color w:val="1b1c1d"/>
          <w:sz w:val="24"/>
          <w:szCs w:val="24"/>
          <w:rtl w:val="0"/>
        </w:rPr>
        <w:t xml:space="preserve"> A significant disturbance originating in Southeast Europe cascaded, causing the entire CESA grid to temporarily split into two asynchronous islands (a northwestern and a southeastern part)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While the system was successfully resynchronized relatively quickly, the event underscored the potential for widespread disruption.</w:t>
      </w:r>
    </w:p>
    <w:p w:rsidR="00000000" w:rsidDel="00000000" w:rsidP="00000000" w:rsidRDefault="00000000" w:rsidRPr="00000000" w14:paraId="0000006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June 2024 South-East Europe Incident:</w:t>
      </w:r>
      <w:r w:rsidDel="00000000" w:rsidR="00000000" w:rsidRPr="00000000">
        <w:rPr>
          <w:rFonts w:ascii="Google Sans Text" w:cs="Google Sans Text" w:eastAsia="Google Sans Text" w:hAnsi="Google Sans Text"/>
          <w:i w:val="0"/>
          <w:color w:val="1b1c1d"/>
          <w:sz w:val="24"/>
          <w:szCs w:val="24"/>
          <w:rtl w:val="0"/>
        </w:rPr>
        <w:t xml:space="preserve"> A sequence of events, initiated by transmission line outages due to vegetation contact, led to voltage collapse and blackouts affecting Albania, Bosnia and Herzegovina, Montenegro, and parts of Croatia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The investigation highlighted the need for better regional coordination, real-time visibility into neighboring grids, and improved procedures for managing voltage stability and line overloads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Other events, such as potential separations involving the Balkans or the Iberian Peninsula in 2021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further illustrate the reality of large-scale stability challenges.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ENTSO-E is acutely aware of the risks posed by the changing generation mix. Its analyses consistently point to declining system inertia and the consequent increase in RoCoF as major future threats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 key focus is the system's resilience to splits. Studies conducted under "Project Inertia" show that as synchronous generation declines and IBR penetration increases towards 2030 and 2040 scenarios, the number of potential system split scenarios that could lead to dangerously high RoCoF (e.g., exceeding ± 1 Hz/s) and subsequent blackouts in one or both separated subsystems increases significantly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elevates the risk of "global severe splits" where both parts collapse, making restoration extremely difficult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These findings emphasize the urgent need for proactive measures to maintain or enhance system resilience in the face of declining inertia, making system splits a defining threat for the future operation of large synchronous areas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Simultaneously, the CESA continues to evolve. The successful emergency synchronization of Ukraine and Moldova in March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followed by the planned synchronization of the Baltic states (Estonia, Latvia, Lithuania) in February 2025, disconnecting them from the Russian/Belarussian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demonstrate both the technical capabilities and the geopolitical significance of large-scale grid interconnections and synchronous operation.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Role of HVDC Interconnectors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High Voltage Direct Current (HVDC) transmission plays an increasingly vital role in the European grid and globally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HVDC technology offers several key advantages over traditional AC transmission:</w:t>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Efficiency over Long Distances:</w:t>
      </w:r>
      <w:r w:rsidDel="00000000" w:rsidR="00000000" w:rsidRPr="00000000">
        <w:rPr>
          <w:rFonts w:ascii="Google Sans Text" w:cs="Google Sans Text" w:eastAsia="Google Sans Text" w:hAnsi="Google Sans Text"/>
          <w:i w:val="0"/>
          <w:color w:val="1b1c1d"/>
          <w:sz w:val="24"/>
          <w:szCs w:val="24"/>
          <w:rtl w:val="0"/>
        </w:rPr>
        <w:t xml:space="preserve"> HVDC lines experience significantly lower power losses than AC lines over long distances (hundreds or thousands of kilometers)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Connecting Asynchronous Systems:</w:t>
      </w:r>
      <w:r w:rsidDel="00000000" w:rsidR="00000000" w:rsidRPr="00000000">
        <w:rPr>
          <w:rFonts w:ascii="Google Sans Text" w:cs="Google Sans Text" w:eastAsia="Google Sans Text" w:hAnsi="Google Sans Text"/>
          <w:i w:val="0"/>
          <w:color w:val="1b1c1d"/>
          <w:sz w:val="24"/>
          <w:szCs w:val="24"/>
          <w:rtl w:val="0"/>
        </w:rPr>
        <w:t xml:space="preserve"> HVDC links can connect grids that are not synchronized, such as different national grids operating at the same nominal frequency but not in phase, or grids with different frequencies (e.g., 50 Hz and 60 Hz)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This is used extensively to connect Great Britain, Ireland, and the Nordic countries (which form separate synchronous areas) to CESA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It is also the technology used to connect the US interconnections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Precise Power Flow Control:</w:t>
      </w:r>
      <w:r w:rsidDel="00000000" w:rsidR="00000000" w:rsidRPr="00000000">
        <w:rPr>
          <w:rFonts w:ascii="Google Sans Text" w:cs="Google Sans Text" w:eastAsia="Google Sans Text" w:hAnsi="Google Sans Text"/>
          <w:i w:val="0"/>
          <w:color w:val="1b1c1d"/>
          <w:sz w:val="24"/>
          <w:szCs w:val="24"/>
          <w:rtl w:val="0"/>
        </w:rPr>
        <w:t xml:space="preserve"> Unlike AC lines where power flows according to impedance, HVDC links allow operators to precisely control the amount and direction of power flow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Integrating Offshore Wind:</w:t>
      </w:r>
      <w:r w:rsidDel="00000000" w:rsidR="00000000" w:rsidRPr="00000000">
        <w:rPr>
          <w:rFonts w:ascii="Google Sans Text" w:cs="Google Sans Text" w:eastAsia="Google Sans Text" w:hAnsi="Google Sans Text"/>
          <w:i w:val="0"/>
          <w:color w:val="1b1c1d"/>
          <w:sz w:val="24"/>
          <w:szCs w:val="24"/>
          <w:rtl w:val="0"/>
        </w:rPr>
        <w:t xml:space="preserve"> HVDC is often the preferred technology for bringing power from large offshore wind farms to shore due to lower losses and technical advantages with long subsea cables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capabilities make HVDC crucial for facilitating cross-border electricity trade, integrating large-scale remote renewables, and potentially enhancing grid stability by damping power oscillations and preventing the spread of disturbances between connected AC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Proposals exist for overlaying national HVDC networks in the US to connect major interconnections more robustly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HVDC is not a panacea. Converter stations required at each end of an HVDC line are complex and expensive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While HVDC links can enhance stability in some ways, they do not inherently provide inertia (unless equipped with advanced grid-forming controls). Furthermore, the interaction between powerful HVDC converters and the surrounding AC network, especially in areas with low AC system strength (weak grids), can introduce new, complex control challenges and potential instability modes that require careful study and sophisticated control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Thus, while HVDC is a powerful tool enabling the energy transition, its large-scale deployment must be carefully planned and integrated with strategies to maintain overall AC system stability.</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 Stabilizing the Future Grid: Pathways and Political Imperatives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Addressing the grid stability challenges posed by declining inertia and increasing complexity requires a multi-faceted approach encompassing technology, infrastructure, operations, and policy. Complacency, based on the notion of "If it ain't broke, don't fix it"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is a dangerous path given the fundamental shifts underway.</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Technological Solutions: The Rise of Grid-Forming (GFM) Inverters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key technological solution emerging to address the loss of inertia is the development and deployment of grid-forming (GFM) inverters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Unlike traditional grid-following (GFL) inverters, which essentially react to the voltage and frequency already present on the grid (relying on synchronous machines to establish these parameters), GFM inverters are designed with control algorithms that allow them to actively establish or "form" their own voltage and frequency reference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doing so, GFM inverters can mimic the stabilizing behavior of synchronous generators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They can inherently resist changes in frequency, providing a "synthetic inertia" response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They can also contribute to maintaining voltage stability and potentially even provide "black start" capability – the ability to re-energize a collapsed grid without external power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GFM capabilities are seen as essential for enabling reliable operation of power systems with very high, or even 100%, penetration of IBRs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technology is advancing rapidly, driven by research at institutions like the National Renewable Energy Laboratory (NREL) and collaborative efforts like the UNIFI Consortium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While GFM is primarily a software change for some modern inverters, retrofitting older GFL units can be difficult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Significant challenges remain before widespread adoption, including:</w:t>
      </w:r>
    </w:p>
    <w:p w:rsidR="00000000" w:rsidDel="00000000" w:rsidP="00000000" w:rsidRDefault="00000000" w:rsidRPr="00000000" w14:paraId="0000007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Standardization:</w:t>
      </w:r>
      <w:r w:rsidDel="00000000" w:rsidR="00000000" w:rsidRPr="00000000">
        <w:rPr>
          <w:rFonts w:ascii="Google Sans Text" w:cs="Google Sans Text" w:eastAsia="Google Sans Text" w:hAnsi="Google Sans Text"/>
          <w:i w:val="0"/>
          <w:color w:val="1b1c1d"/>
          <w:sz w:val="24"/>
          <w:szCs w:val="24"/>
          <w:rtl w:val="0"/>
        </w:rPr>
        <w:t xml:space="preserve"> Developing common standards and grid code requirements for GFM performance and interoperability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Modeling and Simulation:</w:t>
      </w:r>
      <w:r w:rsidDel="00000000" w:rsidR="00000000" w:rsidRPr="00000000">
        <w:rPr>
          <w:rFonts w:ascii="Google Sans Text" w:cs="Google Sans Text" w:eastAsia="Google Sans Text" w:hAnsi="Google Sans Text"/>
          <w:i w:val="0"/>
          <w:color w:val="1b1c1d"/>
          <w:sz w:val="24"/>
          <w:szCs w:val="24"/>
          <w:rtl w:val="0"/>
        </w:rPr>
        <w:t xml:space="preserve"> Creating accurate models of GFM behavior for system planning and stability studies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Control Interactions:</w:t>
      </w:r>
      <w:r w:rsidDel="00000000" w:rsidR="00000000" w:rsidRPr="00000000">
        <w:rPr>
          <w:rFonts w:ascii="Google Sans Text" w:cs="Google Sans Text" w:eastAsia="Google Sans Text" w:hAnsi="Google Sans Text"/>
          <w:i w:val="0"/>
          <w:color w:val="1b1c1d"/>
          <w:sz w:val="24"/>
          <w:szCs w:val="24"/>
          <w:rtl w:val="0"/>
        </w:rPr>
        <w:t xml:space="preserve"> Understanding and mitigating potential adverse interactions between multiple GFM inverters, GFL inverters, and remaining synchronous machines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 and Validation:</w:t>
      </w:r>
      <w:r w:rsidDel="00000000" w:rsidR="00000000" w:rsidRPr="00000000">
        <w:rPr>
          <w:rFonts w:ascii="Google Sans Text" w:cs="Google Sans Text" w:eastAsia="Google Sans Text" w:hAnsi="Google Sans Text"/>
          <w:i w:val="0"/>
          <w:color w:val="1b1c1d"/>
          <w:sz w:val="24"/>
          <w:szCs w:val="24"/>
          <w:rtl w:val="0"/>
        </w:rPr>
        <w:t xml:space="preserve"> Demonstrating cost-effectiveness and validating performance through field deployments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 Needs:</w:t>
      </w:r>
      <w:r w:rsidDel="00000000" w:rsidR="00000000" w:rsidRPr="00000000">
        <w:rPr>
          <w:rFonts w:ascii="Google Sans Text" w:cs="Google Sans Text" w:eastAsia="Google Sans Text" w:hAnsi="Google Sans Text"/>
          <w:i w:val="0"/>
          <w:color w:val="1b1c1d"/>
          <w:sz w:val="24"/>
          <w:szCs w:val="24"/>
          <w:rtl w:val="0"/>
        </w:rPr>
        <w:t xml:space="preserve"> Determining how much GFM capability is needed in a given system and where it should be located (likely in weaker grid areas)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Estimates suggest needing at least 25-30% GFM resources in some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NREL's research roadmap outlines a multiyear path for gradual validation and deployment, starting with smaller systems and expanding as confidence grows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Infrastructure Solutions: Strengthening Connections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Technology alone cannot solve the stability challenge; robust infrastructure is equally critical. This includes:</w:t>
      </w:r>
    </w:p>
    <w:p w:rsidR="00000000" w:rsidDel="00000000" w:rsidP="00000000" w:rsidRDefault="00000000" w:rsidRPr="00000000" w14:paraId="0000008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 Transmission Expansion:</w:t>
      </w:r>
      <w:r w:rsidDel="00000000" w:rsidR="00000000" w:rsidRPr="00000000">
        <w:rPr>
          <w:rFonts w:ascii="Google Sans Text" w:cs="Google Sans Text" w:eastAsia="Google Sans Text" w:hAnsi="Google Sans Text"/>
          <w:i w:val="0"/>
          <w:color w:val="1b1c1d"/>
          <w:sz w:val="24"/>
          <w:szCs w:val="24"/>
          <w:rtl w:val="0"/>
        </w:rPr>
        <w:t xml:space="preserve"> Strategic investment is needed to upgrade and expand the existing AC transmission network to relieve congestion, improve power transfer capability, and efficiently deliver renewable energy from resource-rich areas to load centers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Delays in planning and permitting remain significant hurdles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National HVDC Network:</w:t>
      </w:r>
      <w:r w:rsidDel="00000000" w:rsidR="00000000" w:rsidRPr="00000000">
        <w:rPr>
          <w:rFonts w:ascii="Google Sans Text" w:cs="Google Sans Text" w:eastAsia="Google Sans Text" w:hAnsi="Google Sans Text"/>
          <w:i w:val="0"/>
          <w:color w:val="1b1c1d"/>
          <w:sz w:val="24"/>
          <w:szCs w:val="24"/>
          <w:rtl w:val="0"/>
        </w:rPr>
        <w:t xml:space="preserve"> Building a high-capacity HVDC transmission overlay network, potentially leveraging existing rights-of-way (e.g., railroads, highways), could provide substantial benefits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Such a network would enable efficient bulk power transfer across long distances and between the major US interconnections, significantly enhancing resilience, facilitating renewable integration, and improving overall grid stability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Studies, including one by NREL, suggest the economic and reliability benefits could be substantial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Grid-Enhancing Technologies (GETs):</w:t>
      </w:r>
      <w:r w:rsidDel="00000000" w:rsidR="00000000" w:rsidRPr="00000000">
        <w:rPr>
          <w:rFonts w:ascii="Google Sans Text" w:cs="Google Sans Text" w:eastAsia="Google Sans Text" w:hAnsi="Google Sans Text"/>
          <w:i w:val="0"/>
          <w:color w:val="1b1c1d"/>
          <w:sz w:val="24"/>
          <w:szCs w:val="24"/>
          <w:rtl w:val="0"/>
        </w:rPr>
        <w:t xml:space="preserve"> In the near term, deploying GETs – such as dynamic line ratings, advanced power flow controllers, and topology optimization software – can help maximize the capacity and flexibility of the existing transmission grid, providing faster and lower-cost improvements while larger projects are developed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Operational Solutions: Smarter, Faster Grids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Operating a lower-inertia, IBR-dominated grid requires enhanced operational capabilities:</w:t>
      </w:r>
    </w:p>
    <w:p w:rsidR="00000000" w:rsidDel="00000000" w:rsidP="00000000" w:rsidRDefault="00000000" w:rsidRPr="00000000" w14:paraId="0000008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Situational Awareness:</w:t>
      </w:r>
      <w:r w:rsidDel="00000000" w:rsidR="00000000" w:rsidRPr="00000000">
        <w:rPr>
          <w:rFonts w:ascii="Google Sans Text" w:cs="Google Sans Text" w:eastAsia="Google Sans Text" w:hAnsi="Google Sans Text"/>
          <w:i w:val="0"/>
          <w:color w:val="1b1c1d"/>
          <w:sz w:val="24"/>
          <w:szCs w:val="24"/>
          <w:rtl w:val="0"/>
        </w:rPr>
        <w:t xml:space="preserve"> Wider deployment of synchrophasor technology (Phasor Measurement Units - PMUs) is needed to provide high-resolution, real-time visibility into grid dynamics, including frequency, voltage angles, and potentially estimates of system inertia and RoCoF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Forecasting:</w:t>
      </w:r>
      <w:r w:rsidDel="00000000" w:rsidR="00000000" w:rsidRPr="00000000">
        <w:rPr>
          <w:rFonts w:ascii="Google Sans Text" w:cs="Google Sans Text" w:eastAsia="Google Sans Text" w:hAnsi="Google Sans Text"/>
          <w:i w:val="0"/>
          <w:color w:val="1b1c1d"/>
          <w:sz w:val="24"/>
          <w:szCs w:val="24"/>
          <w:rtl w:val="0"/>
        </w:rPr>
        <w:t xml:space="preserve"> Improved accuracy in forecasting variable renewable energy generation (wind and solar) and evolving load patterns is crucial for proactive grid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Faster Controls and Protection:</w:t>
      </w:r>
      <w:r w:rsidDel="00000000" w:rsidR="00000000" w:rsidRPr="00000000">
        <w:rPr>
          <w:rFonts w:ascii="Google Sans Text" w:cs="Google Sans Text" w:eastAsia="Google Sans Text" w:hAnsi="Google Sans Text"/>
          <w:i w:val="0"/>
          <w:color w:val="1b1c1d"/>
          <w:sz w:val="24"/>
          <w:szCs w:val="24"/>
          <w:rtl w:val="0"/>
        </w:rPr>
        <w:t xml:space="preserve"> Development and implementation of faster-acting, more sophisticated control systems (potentially leveraging AI/ML) and protection schemes are needed to detect and respond to rapid frequency and voltage changes in low-inertia environments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Coordination:</w:t>
      </w:r>
      <w:r w:rsidDel="00000000" w:rsidR="00000000" w:rsidRPr="00000000">
        <w:rPr>
          <w:rFonts w:ascii="Google Sans Text" w:cs="Google Sans Text" w:eastAsia="Google Sans Text" w:hAnsi="Google Sans Text"/>
          <w:i w:val="0"/>
          <w:color w:val="1b1c1d"/>
          <w:sz w:val="24"/>
          <w:szCs w:val="24"/>
          <w:rtl w:val="0"/>
        </w:rPr>
        <w:t xml:space="preserve"> Enhanced coordination and data sharing among TSOs, ISOs, BAs, and market operators are essential for managing interregional flows and responding effectively to disturbances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Policy Recommendations: Enabling the Transition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Technological and operational advancements must be underpinned by supportive policy frameworks. While technologies like GFM and HVDC are crucial, their effective deployment hinges on overcoming non-technical barriers through deliberate policy action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proactive approach is essential to build resilience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major failures occur, recognizing the long lead times involved in infrastructure projects and technology deployment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Key policy imperatives include:</w:t>
      </w:r>
    </w:p>
    <w:p w:rsidR="00000000" w:rsidDel="00000000" w:rsidP="00000000" w:rsidRDefault="00000000" w:rsidRPr="00000000" w14:paraId="0000008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Investment &amp; Incentives:</w:t>
      </w:r>
      <w:r w:rsidDel="00000000" w:rsidR="00000000" w:rsidRPr="00000000">
        <w:rPr>
          <w:rFonts w:ascii="Google Sans Text" w:cs="Google Sans Text" w:eastAsia="Google Sans Text" w:hAnsi="Google Sans Text"/>
          <w:i w:val="0"/>
          <w:color w:val="1b1c1d"/>
          <w:sz w:val="24"/>
          <w:szCs w:val="24"/>
          <w:rtl w:val="0"/>
        </w:rPr>
        <w:t xml:space="preserve"> Establish clear policy signals and financial mechanisms (e.g., federal funding, tax credits, loan programs) to prioritize and de-risk private investment in critical grid modernization projects, including transmission expansion (both AC and HVDC), GFM inverter deployment, and large-scale energy storage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R&amp;D Support:</w:t>
      </w:r>
      <w:r w:rsidDel="00000000" w:rsidR="00000000" w:rsidRPr="00000000">
        <w:rPr>
          <w:rFonts w:ascii="Google Sans Text" w:cs="Google Sans Text" w:eastAsia="Google Sans Text" w:hAnsi="Google Sans Text"/>
          <w:i w:val="0"/>
          <w:color w:val="1b1c1d"/>
          <w:sz w:val="24"/>
          <w:szCs w:val="24"/>
          <w:rtl w:val="0"/>
        </w:rPr>
        <w:t xml:space="preserve"> Maintain robust public funding for research, development, demonstration, and deployment (RD&amp;D) of next-generation grid technologies like GFM inverters, advanced control systems, cybersecurity tools, and improved grid modeling capabilities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Permitting Reform:</w:t>
      </w:r>
      <w:r w:rsidDel="00000000" w:rsidR="00000000" w:rsidRPr="00000000">
        <w:rPr>
          <w:rFonts w:ascii="Google Sans Text" w:cs="Google Sans Text" w:eastAsia="Google Sans Text" w:hAnsi="Google Sans Text"/>
          <w:i w:val="0"/>
          <w:color w:val="1b1c1d"/>
          <w:sz w:val="24"/>
          <w:szCs w:val="24"/>
          <w:rtl w:val="0"/>
        </w:rPr>
        <w:t xml:space="preserve"> Implement meaningful reforms to streamline and accelerate the siting and permitting processes for linear infrastructure like transmission lines, while ensuring robust environmental review and meaningful community engagement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Addressing the interconnection queue backlog is paramount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 Design Evolution:</w:t>
      </w:r>
      <w:r w:rsidDel="00000000" w:rsidR="00000000" w:rsidRPr="00000000">
        <w:rPr>
          <w:rFonts w:ascii="Google Sans Text" w:cs="Google Sans Text" w:eastAsia="Google Sans Text" w:hAnsi="Google Sans Text"/>
          <w:i w:val="0"/>
          <w:color w:val="1b1c1d"/>
          <w:sz w:val="24"/>
          <w:szCs w:val="24"/>
          <w:rtl w:val="0"/>
        </w:rPr>
        <w:t xml:space="preserve"> Adapt electricity market rules and structures to explicitly recognize and compensate providers for essential reliability services that are becoming scarce, such as inertia, fast frequency response, voltage support, and ramping capability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Creating clear value streams will incentivize investment in technologies like GFM inverters and synchronous condensers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Standards &amp; Mandates:</w:t>
      </w:r>
      <w:r w:rsidDel="00000000" w:rsidR="00000000" w:rsidRPr="00000000">
        <w:rPr>
          <w:rFonts w:ascii="Google Sans Text" w:cs="Google Sans Text" w:eastAsia="Google Sans Text" w:hAnsi="Google Sans Text"/>
          <w:i w:val="0"/>
          <w:color w:val="1b1c1d"/>
          <w:sz w:val="24"/>
          <w:szCs w:val="24"/>
          <w:rtl w:val="0"/>
        </w:rPr>
        <w:t xml:space="preserve"> Update and enforce mandatory NERC reliability standards and FERC interconnection requirements (building on standards like IEEE 2800) to ensure new IBRs possess necessary grid-support capabilities, including voltage and frequency ride-through and potentially GFM functionality, particularly in regions with high IBR penetration or weak grid conditions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Revisit registration thresholds to ensure visibility of smaller IBR impacts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w:t>
      </w:r>
      <w:r w:rsidDel="00000000" w:rsidR="00000000" w:rsidRPr="00000000">
        <w:rPr>
          <w:rFonts w:ascii="Google Sans Text" w:cs="Google Sans Text" w:eastAsia="Google Sans Text" w:hAnsi="Google Sans Text"/>
          <w:i w:val="0"/>
          <w:color w:val="1b1c1d"/>
          <w:sz w:val="24"/>
          <w:szCs w:val="24"/>
          <w:rtl w:val="0"/>
        </w:rPr>
        <w:t xml:space="preserve"> Continue to strengthen and enforce physical and cybersecurity standards (e.g., NERC CIP) to protect critical grid infrastructure from evolving threats, including coordinated attacks and EMP risks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VII. Conclusion: Securing Our Energy Future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transformation of our electricity grid, driven by the urgent need for decarbonization and the rapid adoption of new technologies, presents profound opportunities but also significant technical challenges. The declining physical inertia of the system, a direct consequence of replacing traditional rotating generators with inverter-based resources, is weakening the grid's natural resilience to disturbances. This manifests as an increased susceptibility to frequency instability – the "wobble" – characterized by faster rates of change of frequency (RoCoF) following events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instability is not a distant or theoretical concern; incidents involving unexpected load shedding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and IBR tripping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demonstrate that the tremors are already being felt across US interconnections.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High RoCoF and low inertia significantly elevate the risk of cascading failures, where localized faults can trigger widespread blackouts with potentially devastating economic and societal consequences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Maintaining grid stability is therefore not an optional extra but the fundamental bedrock upon which the entire energy transition rests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Ambitious goals for renewable energy deployment, the electrification of transportation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and the powering of an increasingly digital economy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are all critically dependent on a reliable and resilient power grid.</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Addressing this challenge requires moving beyond traditional paradigms and embracing a proactive, system-wide approach. Technological solutions like grid-forming inverters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and strategic infrastructure investments in both AC and HVDC transmission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are essential enablers. Equally important are advancements in grid operation, enhanced situational awareness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and adaptive protection schemes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technology and operational improvements alone are insufficient. Their successful integration at the necessary scale and speed hinges on decisive political leadership and supportive policy frameworks. Policymakers must recognize the technical realities of grid stability in the modern era and prioritize investments and reforms that enhance resilience alongside the expansion of clean generation. This includes streamlining infrastructure permitting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evolving market designs to value stability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updating technical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and fostering continued innovation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Securing our energy future demands foresight, a commitment to understanding the complex interplay of system components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and the political will to make the foundational investments necessary to ensure the grid remains stable and reliable throughout this critical transition. The cost of inaction, measured in grid vulnerability and the potential for large-scale disruption, is simply too high.</w:t>
      </w:r>
    </w:p>
    <w:p w:rsidR="00000000" w:rsidDel="00000000" w:rsidP="00000000" w:rsidRDefault="00000000" w:rsidRPr="00000000" w14:paraId="0000009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aemo.com.au, accessed April 28, 2025, </w:t>
      </w:r>
      <w:hyperlink r:id="rId6">
        <w:r w:rsidDel="00000000" w:rsidR="00000000" w:rsidRPr="00000000">
          <w:rPr>
            <w:rFonts w:ascii="Google Sans" w:cs="Google Sans" w:eastAsia="Google Sans" w:hAnsi="Google Sans"/>
            <w:color w:val="0000ee"/>
            <w:sz w:val="24"/>
            <w:szCs w:val="24"/>
            <w:u w:val="single"/>
            <w:rtl w:val="0"/>
          </w:rPr>
          <w:t xml:space="preserve">https://aemo.com.au/-/media/files/initiatives/engineering-framework/2023/inertia-in-the-nem-explained.pdf?la=en</w:t>
        </w:r>
      </w:hyperlink>
      <w:r w:rsidDel="00000000" w:rsidR="00000000" w:rsidRPr="00000000">
        <w:rPr>
          <w:rtl w:val="0"/>
        </w:rPr>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 inertia: why it matters in a renewable world, accessed April 28, 2025, </w:t>
      </w:r>
      <w:hyperlink r:id="rId7">
        <w:r w:rsidDel="00000000" w:rsidR="00000000" w:rsidRPr="00000000">
          <w:rPr>
            <w:rFonts w:ascii="Google Sans" w:cs="Google Sans" w:eastAsia="Google Sans" w:hAnsi="Google Sans"/>
            <w:color w:val="0000ee"/>
            <w:sz w:val="24"/>
            <w:szCs w:val="24"/>
            <w:u w:val="single"/>
            <w:rtl w:val="0"/>
          </w:rPr>
          <w:t xml:space="preserve">https://www.renewableenergyworld.com/solar/grid-inertia-why-it-matters-in-a-renewable-world/</w:t>
        </w:r>
      </w:hyperlink>
      <w:r w:rsidDel="00000000" w:rsidR="00000000" w:rsidRPr="00000000">
        <w:rPr>
          <w:rtl w:val="0"/>
        </w:rPr>
      </w:r>
    </w:p>
    <w:p w:rsidR="00000000" w:rsidDel="00000000" w:rsidP="00000000" w:rsidRDefault="00000000" w:rsidRPr="00000000" w14:paraId="0000009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Inertial response - Wikipedia, accessed April 28,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https://en.wikipedia.org/wiki/Inertial_response</w:t>
        </w:r>
      </w:hyperlink>
      <w:r w:rsidDel="00000000" w:rsidR="00000000" w:rsidRPr="00000000">
        <w:rPr>
          <w:rtl w:val="0"/>
        </w:rPr>
      </w:r>
    </w:p>
    <w:p w:rsidR="00000000" w:rsidDel="00000000" w:rsidP="00000000" w:rsidRDefault="00000000" w:rsidRPr="00000000" w14:paraId="0000009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Advancing Reliability Report - ERCOT.com, accessed April 28, 2025, </w:t>
      </w:r>
      <w:hyperlink r:id="rId9">
        <w:r w:rsidDel="00000000" w:rsidR="00000000" w:rsidRPr="00000000">
          <w:rPr>
            <w:rFonts w:ascii="Google Sans" w:cs="Google Sans" w:eastAsia="Google Sans" w:hAnsi="Google Sans"/>
            <w:color w:val="0000ee"/>
            <w:sz w:val="24"/>
            <w:szCs w:val="24"/>
            <w:u w:val="single"/>
            <w:rtl w:val="0"/>
          </w:rPr>
          <w:t xml:space="preserve">https://www.ercot.com/files/docs/2025/03/14/ERCOT-2024-State-of-the-Grid.pdf</w:t>
        </w:r>
      </w:hyperlink>
      <w:r w:rsidDel="00000000" w:rsidR="00000000" w:rsidRPr="00000000">
        <w:rPr>
          <w:rtl w:val="0"/>
        </w:rPr>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5th EV Charging Infrastructure Summit - North America 2024 - Smart Grid Observer, accessed April 28, 2025, </w:t>
      </w:r>
      <w:hyperlink r:id="rId10">
        <w:r w:rsidDel="00000000" w:rsidR="00000000" w:rsidRPr="00000000">
          <w:rPr>
            <w:rFonts w:ascii="Google Sans" w:cs="Google Sans" w:eastAsia="Google Sans" w:hAnsi="Google Sans"/>
            <w:color w:val="0000ee"/>
            <w:sz w:val="24"/>
            <w:szCs w:val="24"/>
            <w:u w:val="single"/>
            <w:rtl w:val="0"/>
          </w:rPr>
          <w:t xml:space="preserve">https://smartgridobserver.com/EV-Summit-Chicago/</w:t>
        </w:r>
      </w:hyperlink>
      <w:r w:rsidDel="00000000" w:rsidR="00000000" w:rsidRPr="00000000">
        <w:rPr>
          <w:rtl w:val="0"/>
        </w:rPr>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and Energy Conferences - Trade Shows 2024 - Smart Software, accessed April 28, 2025, </w:t>
      </w:r>
      <w:hyperlink r:id="rId11">
        <w:r w:rsidDel="00000000" w:rsidR="00000000" w:rsidRPr="00000000">
          <w:rPr>
            <w:rFonts w:ascii="Google Sans" w:cs="Google Sans" w:eastAsia="Google Sans" w:hAnsi="Google Sans"/>
            <w:color w:val="0000ee"/>
            <w:sz w:val="24"/>
            <w:szCs w:val="24"/>
            <w:u w:val="single"/>
            <w:rtl w:val="0"/>
          </w:rPr>
          <w:t xml:space="preserve">https://smartcorp.com/top-power-utility-energy-conferences-and-trade-shows-2024-and-2025/</w:t>
        </w:r>
      </w:hyperlink>
      <w:r w:rsidDel="00000000" w:rsidR="00000000" w:rsidRPr="00000000">
        <w:rPr>
          <w:rtl w:val="0"/>
        </w:rPr>
      </w:r>
    </w:p>
    <w:p w:rsidR="00000000" w:rsidDel="00000000" w:rsidP="00000000" w:rsidRDefault="00000000" w:rsidRPr="00000000" w14:paraId="0000009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&amp; Energy Events in Chicago - 10Times, accessed April 28, 2025, </w:t>
      </w:r>
      <w:hyperlink r:id="rId12">
        <w:r w:rsidDel="00000000" w:rsidR="00000000" w:rsidRPr="00000000">
          <w:rPr>
            <w:rFonts w:ascii="Google Sans" w:cs="Google Sans" w:eastAsia="Google Sans" w:hAnsi="Google Sans"/>
            <w:color w:val="0000ee"/>
            <w:sz w:val="24"/>
            <w:szCs w:val="24"/>
            <w:u w:val="single"/>
            <w:rtl w:val="0"/>
          </w:rPr>
          <w:t xml:space="preserve">https://10times.com/chicago-us/power-energy</w:t>
        </w:r>
      </w:hyperlink>
      <w:r w:rsidDel="00000000" w:rsidR="00000000" w:rsidRPr="00000000">
        <w:rPr>
          <w:rtl w:val="0"/>
        </w:rPr>
      </w:r>
    </w:p>
    <w:p w:rsidR="00000000" w:rsidDel="00000000" w:rsidP="00000000" w:rsidRDefault="00000000" w:rsidRPr="00000000" w14:paraId="000000A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Experience T&amp;D - IEEE PES T&amp;D, accessed April 28, 2025, </w:t>
      </w:r>
      <w:hyperlink r:id="rId13">
        <w:r w:rsidDel="00000000" w:rsidR="00000000" w:rsidRPr="00000000">
          <w:rPr>
            <w:rFonts w:ascii="Google Sans" w:cs="Google Sans" w:eastAsia="Google Sans" w:hAnsi="Google Sans"/>
            <w:color w:val="0000ee"/>
            <w:sz w:val="24"/>
            <w:szCs w:val="24"/>
            <w:u w:val="single"/>
            <w:rtl w:val="0"/>
          </w:rPr>
          <w:t xml:space="preserve">https://ieeet-d.org/2024-ieee-pes-td/attendee/special-features/</w:t>
        </w:r>
      </w:hyperlink>
      <w:r w:rsidDel="00000000" w:rsidR="00000000" w:rsidRPr="00000000">
        <w:rPr>
          <w:rtl w:val="0"/>
        </w:rPr>
      </w:r>
    </w:p>
    <w:p w:rsidR="00000000" w:rsidDel="00000000" w:rsidP="00000000" w:rsidRDefault="00000000" w:rsidRPr="00000000" w14:paraId="000000A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Energy Efficiency in the U.S. Economy - McKinsey &amp; Company, accessed April 28, 2025, </w:t>
      </w:r>
      <w:hyperlink r:id="rId14">
        <w:r w:rsidDel="00000000" w:rsidR="00000000" w:rsidRPr="00000000">
          <w:rPr>
            <w:rFonts w:ascii="Google Sans" w:cs="Google Sans" w:eastAsia="Google Sans" w:hAnsi="Google Sans"/>
            <w:color w:val="0000ee"/>
            <w:sz w:val="24"/>
            <w:szCs w:val="24"/>
            <w:u w:val="single"/>
            <w:rtl w:val="0"/>
          </w:rPr>
          <w:t xml:space="preserve">https://www.mckinsey.com/~/media/mckinsey/dotcom/client_service/Sustainability/PDFs/US_energy_efficiency_full_report.pdf</w:t>
        </w:r>
      </w:hyperlink>
      <w:r w:rsidDel="00000000" w:rsidR="00000000" w:rsidRPr="00000000">
        <w:rPr>
          <w:rtl w:val="0"/>
        </w:rPr>
      </w:r>
    </w:p>
    <w:p w:rsidR="00000000" w:rsidDel="00000000" w:rsidP="00000000" w:rsidRDefault="00000000" w:rsidRPr="00000000" w14:paraId="000000A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Clean Energy Technology Pathways from Research to Commercialization: Policy and Practice Case Studies - NREL, accessed April 28, 2025, </w:t>
      </w:r>
      <w:hyperlink r:id="rId15">
        <w:r w:rsidDel="00000000" w:rsidR="00000000" w:rsidRPr="00000000">
          <w:rPr>
            <w:rFonts w:ascii="Google Sans" w:cs="Google Sans" w:eastAsia="Google Sans" w:hAnsi="Google Sans"/>
            <w:color w:val="0000ee"/>
            <w:sz w:val="24"/>
            <w:szCs w:val="24"/>
            <w:u w:val="single"/>
            <w:rtl w:val="0"/>
          </w:rPr>
          <w:t xml:space="preserve">https://www.nrel.gov/docs/fy23osti/78176.pdf</w:t>
        </w:r>
      </w:hyperlink>
      <w:r w:rsidDel="00000000" w:rsidR="00000000" w:rsidRPr="00000000">
        <w:rPr>
          <w:rtl w:val="0"/>
        </w:rPr>
      </w:r>
    </w:p>
    <w:p w:rsidR="00000000" w:rsidDel="00000000" w:rsidP="00000000" w:rsidRDefault="00000000" w:rsidRPr="00000000" w14:paraId="000000A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www.entsoe.eu, accessed April 28, 2025, </w:t>
      </w:r>
      <w:hyperlink r:id="rId16">
        <w:r w:rsidDel="00000000" w:rsidR="00000000" w:rsidRPr="00000000">
          <w:rPr>
            <w:rFonts w:ascii="Google Sans" w:cs="Google Sans" w:eastAsia="Google Sans" w:hAnsi="Google Sans"/>
            <w:color w:val="0000ee"/>
            <w:sz w:val="24"/>
            <w:szCs w:val="24"/>
            <w:u w:val="single"/>
            <w:rtl w:val="0"/>
          </w:rPr>
          <w:t xml:space="preserve">https://www.entsoe.eu/fileadmin/user_upload/_library/publications/entsoe/Operation_Handbook/Policy_1_Appendix%20_final.pdf</w:t>
        </w:r>
      </w:hyperlink>
      <w:r w:rsidDel="00000000" w:rsidR="00000000" w:rsidRPr="00000000">
        <w:rPr>
          <w:rtl w:val="0"/>
        </w:rPr>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Inertia Services In Power System: A Renewable Grid Challenge - NetZero Events, accessed April 28, 2025, </w:t>
      </w:r>
      <w:hyperlink r:id="rId17">
        <w:r w:rsidDel="00000000" w:rsidR="00000000" w:rsidRPr="00000000">
          <w:rPr>
            <w:rFonts w:ascii="Google Sans" w:cs="Google Sans" w:eastAsia="Google Sans" w:hAnsi="Google Sans"/>
            <w:color w:val="0000ee"/>
            <w:sz w:val="24"/>
            <w:szCs w:val="24"/>
            <w:u w:val="single"/>
            <w:rtl w:val="0"/>
          </w:rPr>
          <w:t xml:space="preserve">https://netzero-events.com/inertia-services-in-power-system-hidden-challenge-for-renewable-grids/</w:t>
        </w:r>
      </w:hyperlink>
      <w:r w:rsidDel="00000000" w:rsidR="00000000" w:rsidRPr="00000000">
        <w:rPr>
          <w:rtl w:val="0"/>
        </w:rPr>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Transmission grid stability with large interregional power flows | Phys. Rev. Research, accessed April 28, 2025, </w:t>
      </w:r>
      <w:hyperlink r:id="rId18">
        <w:r w:rsidDel="00000000" w:rsidR="00000000" w:rsidRPr="00000000">
          <w:rPr>
            <w:rFonts w:ascii="Google Sans" w:cs="Google Sans" w:eastAsia="Google Sans" w:hAnsi="Google Sans"/>
            <w:color w:val="0000ee"/>
            <w:sz w:val="24"/>
            <w:szCs w:val="24"/>
            <w:u w:val="single"/>
            <w:rtl w:val="0"/>
          </w:rPr>
          <w:t xml:space="preserve">https://link.aps.org/doi/10.1103/PhysRevResearch.7.013137</w:t>
        </w:r>
      </w:hyperlink>
      <w:r w:rsidDel="00000000" w:rsidR="00000000" w:rsidRPr="00000000">
        <w:rPr>
          <w:rtl w:val="0"/>
        </w:rPr>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Threats to the U.S. Power Grid - AMAROK, accessed April 28, 2025, </w:t>
      </w:r>
      <w:hyperlink r:id="rId19">
        <w:r w:rsidDel="00000000" w:rsidR="00000000" w:rsidRPr="00000000">
          <w:rPr>
            <w:rFonts w:ascii="Google Sans" w:cs="Google Sans" w:eastAsia="Google Sans" w:hAnsi="Google Sans"/>
            <w:color w:val="0000ee"/>
            <w:sz w:val="24"/>
            <w:szCs w:val="24"/>
            <w:u w:val="single"/>
            <w:rtl w:val="0"/>
          </w:rPr>
          <w:t xml:space="preserve">https://amarok.com/blog/threats-to-the-u-s-power-grid/</w:t>
        </w:r>
      </w:hyperlink>
      <w:r w:rsidDel="00000000" w:rsidR="00000000" w:rsidRPr="00000000">
        <w:rPr>
          <w:rtl w:val="0"/>
        </w:rPr>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 Grid Security and Resilience | Establishing a Baseline for Adversarial Threats - Department of Energy, accessed April 28, 2025, </w:t>
      </w:r>
      <w:hyperlink r:id="rId20">
        <w:r w:rsidDel="00000000" w:rsidR="00000000" w:rsidRPr="00000000">
          <w:rPr>
            <w:rFonts w:ascii="Google Sans" w:cs="Google Sans" w:eastAsia="Google Sans" w:hAnsi="Google Sans"/>
            <w:color w:val="0000ee"/>
            <w:sz w:val="24"/>
            <w:szCs w:val="24"/>
            <w:u w:val="single"/>
            <w:rtl w:val="0"/>
          </w:rPr>
          <w:t xml:space="preserve">https://www.energy.gov/sites/prod/files/2017/01/f34/Electric%20Grid%20Security%20and%20Resilience--Establishing%20a%20Baseline%20for%20Adversarial%20Threats.pdf</w:t>
        </w:r>
      </w:hyperlink>
      <w:r w:rsidDel="00000000" w:rsidR="00000000" w:rsidRPr="00000000">
        <w:rPr>
          <w:rtl w:val="0"/>
        </w:rPr>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on simulation models of cascading failures in power systems - SciOpen, accessed April 28, 2025, </w:t>
      </w:r>
      <w:hyperlink r:id="rId21">
        <w:r w:rsidDel="00000000" w:rsidR="00000000" w:rsidRPr="00000000">
          <w:rPr>
            <w:rFonts w:ascii="Google Sans" w:cs="Google Sans" w:eastAsia="Google Sans" w:hAnsi="Google Sans"/>
            <w:color w:val="0000ee"/>
            <w:sz w:val="24"/>
            <w:szCs w:val="24"/>
            <w:u w:val="single"/>
            <w:rtl w:val="0"/>
          </w:rPr>
          <w:t xml:space="preserve">https://www.sciopen.com/article/10.23919/IEN.2023.0039</w:t>
        </w:r>
      </w:hyperlink>
      <w:r w:rsidDel="00000000" w:rsidR="00000000" w:rsidRPr="00000000">
        <w:rPr>
          <w:rtl w:val="0"/>
        </w:rPr>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www.naspi.org, accessed April 28, 2025, </w:t>
      </w:r>
      <w:hyperlink r:id="rId22">
        <w:r w:rsidDel="00000000" w:rsidR="00000000" w:rsidRPr="00000000">
          <w:rPr>
            <w:rFonts w:ascii="Google Sans" w:cs="Google Sans" w:eastAsia="Google Sans" w:hAnsi="Google Sans"/>
            <w:color w:val="0000ee"/>
            <w:sz w:val="24"/>
            <w:szCs w:val="24"/>
            <w:u w:val="single"/>
            <w:rtl w:val="0"/>
          </w:rPr>
          <w:t xml:space="preserve">https://www.naspi.org/sites/default/files/2016-10/ieee_papic_cascading_outage_prevention_20160322.pdf</w:t>
        </w:r>
      </w:hyperlink>
      <w:r w:rsidDel="00000000" w:rsidR="00000000" w:rsidRPr="00000000">
        <w:rPr>
          <w:rtl w:val="0"/>
        </w:rPr>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SENATE - GovInfo, accessed April 28, 2025, </w:t>
      </w:r>
      <w:hyperlink r:id="rId23">
        <w:r w:rsidDel="00000000" w:rsidR="00000000" w:rsidRPr="00000000">
          <w:rPr>
            <w:rFonts w:ascii="Google Sans" w:cs="Google Sans" w:eastAsia="Google Sans" w:hAnsi="Google Sans"/>
            <w:color w:val="0000ee"/>
            <w:sz w:val="24"/>
            <w:szCs w:val="24"/>
            <w:u w:val="single"/>
            <w:rtl w:val="0"/>
          </w:rPr>
          <w:t xml:space="preserve">https://www.govinfo.gov/content/pkg/GPO-CRECB-1959-pt8/pdf/GPO-CRECB-1959-pt8-7.pdf</w:t>
        </w:r>
      </w:hyperlink>
      <w:r w:rsidDel="00000000" w:rsidR="00000000" w:rsidRPr="00000000">
        <w:rPr>
          <w:rtl w:val="0"/>
        </w:rPr>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ERMA's whiz kids – Increment: Teams, accessed April 28, 2025, </w:t>
      </w:r>
      <w:hyperlink r:id="rId24">
        <w:r w:rsidDel="00000000" w:rsidR="00000000" w:rsidRPr="00000000">
          <w:rPr>
            <w:rFonts w:ascii="Google Sans" w:cs="Google Sans" w:eastAsia="Google Sans" w:hAnsi="Google Sans"/>
            <w:color w:val="0000ee"/>
            <w:sz w:val="24"/>
            <w:szCs w:val="24"/>
            <w:u w:val="single"/>
            <w:rtl w:val="0"/>
          </w:rPr>
          <w:t xml:space="preserve">https://increment.com/teams/ermas-whiz-kids/</w:t>
        </w:r>
      </w:hyperlink>
      <w:r w:rsidDel="00000000" w:rsidR="00000000" w:rsidRPr="00000000">
        <w:rPr>
          <w:rtl w:val="0"/>
        </w:rPr>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James L. McKenney's research works | Harvard University and other places - ResearchGate, accessed April 28, 2025, </w:t>
      </w:r>
      <w:hyperlink r:id="rId25">
        <w:r w:rsidDel="00000000" w:rsidR="00000000" w:rsidRPr="00000000">
          <w:rPr>
            <w:rFonts w:ascii="Google Sans" w:cs="Google Sans" w:eastAsia="Google Sans" w:hAnsi="Google Sans"/>
            <w:color w:val="0000ee"/>
            <w:sz w:val="24"/>
            <w:szCs w:val="24"/>
            <w:u w:val="single"/>
            <w:rtl w:val="0"/>
          </w:rPr>
          <w:t xml:space="preserve">https://www.researchgate.net/scientific-contributions/James-L-McKenney-70387844</w:t>
        </w:r>
      </w:hyperlink>
      <w:r w:rsidDel="00000000" w:rsidR="00000000" w:rsidRPr="00000000">
        <w:rPr>
          <w:rtl w:val="0"/>
        </w:rPr>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Frequency Containment Reserve (FCR) | Definition - Next Kraftwerke, accessed April 28, 2025, </w:t>
      </w:r>
      <w:hyperlink r:id="rId26">
        <w:r w:rsidDel="00000000" w:rsidR="00000000" w:rsidRPr="00000000">
          <w:rPr>
            <w:rFonts w:ascii="Google Sans" w:cs="Google Sans" w:eastAsia="Google Sans" w:hAnsi="Google Sans"/>
            <w:color w:val="0000ee"/>
            <w:sz w:val="24"/>
            <w:szCs w:val="24"/>
            <w:u w:val="single"/>
            <w:rtl w:val="0"/>
          </w:rPr>
          <w:t xml:space="preserve">https://www.next-kraftwerke.com/knowledge/frequency-containment-reserve-fcr</w:t>
        </w:r>
      </w:hyperlink>
      <w:r w:rsidDel="00000000" w:rsidR="00000000" w:rsidRPr="00000000">
        <w:rPr>
          <w:rtl w:val="0"/>
        </w:rPr>
      </w:r>
    </w:p>
    <w:p w:rsidR="00000000" w:rsidDel="00000000" w:rsidP="00000000" w:rsidRDefault="00000000" w:rsidRPr="00000000" w14:paraId="000000A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Inertia and the Power Grid: A Guide Without the Spin - NREL, accessed April 28, 2025, </w:t>
      </w:r>
      <w:hyperlink r:id="rId27">
        <w:r w:rsidDel="00000000" w:rsidR="00000000" w:rsidRPr="00000000">
          <w:rPr>
            <w:rFonts w:ascii="Google Sans" w:cs="Google Sans" w:eastAsia="Google Sans" w:hAnsi="Google Sans"/>
            <w:color w:val="0000ee"/>
            <w:sz w:val="24"/>
            <w:szCs w:val="24"/>
            <w:u w:val="single"/>
            <w:rtl w:val="0"/>
          </w:rPr>
          <w:t xml:space="preserve">https://www.nrel.gov/docs/fy20osti/73856.pdf</w:t>
        </w:r>
      </w:hyperlink>
      <w:r w:rsidDel="00000000" w:rsidR="00000000" w:rsidRPr="00000000">
        <w:rPr>
          <w:rtl w:val="0"/>
        </w:rPr>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www.ku.ac.ae, accessed April 28, 2025, </w:t>
      </w:r>
      <w:hyperlink r:id="rId28">
        <w:r w:rsidDel="00000000" w:rsidR="00000000" w:rsidRPr="00000000">
          <w:rPr>
            <w:rFonts w:ascii="Google Sans" w:cs="Google Sans" w:eastAsia="Google Sans" w:hAnsi="Google Sans"/>
            <w:color w:val="0000ee"/>
            <w:sz w:val="24"/>
            <w:szCs w:val="24"/>
            <w:u w:val="single"/>
            <w:rtl w:val="0"/>
          </w:rPr>
          <w:t xml:space="preserve">https://www.ku.ac.ae/navigating-the-challenges-of-renewable-energy-integration#:~:text=A%20power%20system%20with%20low,frequency%20as%20the%20electricity%20grid.</w:t>
        </w:r>
      </w:hyperlink>
      <w:r w:rsidDel="00000000" w:rsidR="00000000" w:rsidRPr="00000000">
        <w:rPr>
          <w:rtl w:val="0"/>
        </w:rPr>
      </w:r>
    </w:p>
    <w:p w:rsidR="00000000" w:rsidDel="00000000" w:rsidP="00000000" w:rsidRDefault="00000000" w:rsidRPr="00000000" w14:paraId="000000B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the Challenges of Renewable Energy Integration - Khalifa University, accessed April 28, 2025, </w:t>
      </w:r>
      <w:hyperlink r:id="rId29">
        <w:r w:rsidDel="00000000" w:rsidR="00000000" w:rsidRPr="00000000">
          <w:rPr>
            <w:rFonts w:ascii="Google Sans" w:cs="Google Sans" w:eastAsia="Google Sans" w:hAnsi="Google Sans"/>
            <w:color w:val="0000ee"/>
            <w:sz w:val="24"/>
            <w:szCs w:val="24"/>
            <w:u w:val="single"/>
            <w:rtl w:val="0"/>
          </w:rPr>
          <w:t xml:space="preserve">https://www.ku.ac.ae/navigating-the-challenges-of-renewable-energy-integration</w:t>
        </w:r>
      </w:hyperlink>
      <w:r w:rsidDel="00000000" w:rsidR="00000000" w:rsidRPr="00000000">
        <w:rPr>
          <w:rtl w:val="0"/>
        </w:rPr>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Renewable energy and grid stability: modern infrastructure challenges and solutions, accessed April 28, 2025, </w:t>
      </w:r>
      <w:hyperlink r:id="rId30">
        <w:r w:rsidDel="00000000" w:rsidR="00000000" w:rsidRPr="00000000">
          <w:rPr>
            <w:rFonts w:ascii="Google Sans" w:cs="Google Sans" w:eastAsia="Google Sans" w:hAnsi="Google Sans"/>
            <w:color w:val="0000ee"/>
            <w:sz w:val="24"/>
            <w:szCs w:val="24"/>
            <w:u w:val="single"/>
            <w:rtl w:val="0"/>
          </w:rPr>
          <w:t xml:space="preserve">https://pvcase.com/blog/renewable-energy-and-grid-stability-modern-infrastructure-challenges-and-solutions/</w:t>
        </w:r>
      </w:hyperlink>
      <w:r w:rsidDel="00000000" w:rsidR="00000000" w:rsidRPr="00000000">
        <w:rPr>
          <w:rtl w:val="0"/>
        </w:rPr>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Grid-Forming Inverter Controls - NREL, accessed April 28, 2025, </w:t>
      </w:r>
      <w:hyperlink r:id="rId31">
        <w:r w:rsidDel="00000000" w:rsidR="00000000" w:rsidRPr="00000000">
          <w:rPr>
            <w:rFonts w:ascii="Google Sans" w:cs="Google Sans" w:eastAsia="Google Sans" w:hAnsi="Google Sans"/>
            <w:color w:val="0000ee"/>
            <w:sz w:val="24"/>
            <w:szCs w:val="24"/>
            <w:u w:val="single"/>
            <w:rtl w:val="0"/>
          </w:rPr>
          <w:t xml:space="preserve">https://www2.nrel.gov/grid/grid-forming-inverter-controls</w:t>
        </w:r>
      </w:hyperlink>
      <w:r w:rsidDel="00000000" w:rsidR="00000000" w:rsidRPr="00000000">
        <w:rPr>
          <w:rtl w:val="0"/>
        </w:rPr>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Standard tests and requirements for rate-of-change of frequency (ROCOF) measurements in smart grids - EURAMET, accessed April 28, 2025, </w:t>
      </w:r>
      <w:hyperlink r:id="rId32">
        <w:r w:rsidDel="00000000" w:rsidR="00000000" w:rsidRPr="00000000">
          <w:rPr>
            <w:rFonts w:ascii="Google Sans" w:cs="Google Sans" w:eastAsia="Google Sans" w:hAnsi="Google Sans"/>
            <w:color w:val="0000ee"/>
            <w:sz w:val="24"/>
            <w:szCs w:val="24"/>
            <w:u w:val="single"/>
            <w:rtl w:val="0"/>
          </w:rPr>
          <w:t xml:space="preserve">https://www.euramet.org/research-innovation/search-research-projects/details?tx_eurametctcp_project%5Bproject%5D=1432&amp;cHash=31078616ac9b889b148d30fd0447582c</w:t>
        </w:r>
      </w:hyperlink>
      <w:r w:rsidDel="00000000" w:rsidR="00000000" w:rsidRPr="00000000">
        <w:rPr>
          <w:rtl w:val="0"/>
        </w:rPr>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ENTSO-E Position Paper Project Inertia – Phase II - NET, accessed April 28, 2025, </w:t>
      </w:r>
      <w:hyperlink r:id="rId33">
        <w:r w:rsidDel="00000000" w:rsidR="00000000" w:rsidRPr="00000000">
          <w:rPr>
            <w:rFonts w:ascii="Google Sans" w:cs="Google Sans" w:eastAsia="Google Sans" w:hAnsi="Google Sans"/>
            <w:color w:val="0000ee"/>
            <w:sz w:val="24"/>
            <w:szCs w:val="24"/>
            <w:u w:val="single"/>
            <w:rtl w:val="0"/>
          </w:rPr>
          <w:t xml:space="preserve">https://eepublicdownloads.blob.core.windows.net/public-cdn-container/clean-documents/Publications/Position%20papers%20and%20reports/2025/250123_Project_Inertia_II_Position_paper_Recovering_power_system_resilience_in_case_of_system_splits_for_a_future-ready_decarbonised_system.pdf</w:t>
        </w:r>
      </w:hyperlink>
      <w:r w:rsidDel="00000000" w:rsidR="00000000" w:rsidRPr="00000000">
        <w:rPr>
          <w:rtl w:val="0"/>
        </w:rPr>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Title: Standard tests and requirements for Rate-of-Change of Frequency (ROCOF) measurements in SmartGrids - empir, accessed April 28, 2025, </w:t>
      </w:r>
      <w:hyperlink r:id="rId34">
        <w:r w:rsidDel="00000000" w:rsidR="00000000" w:rsidRPr="00000000">
          <w:rPr>
            <w:rFonts w:ascii="Google Sans" w:cs="Google Sans" w:eastAsia="Google Sans" w:hAnsi="Google Sans"/>
            <w:color w:val="0000ee"/>
            <w:sz w:val="24"/>
            <w:szCs w:val="24"/>
            <w:u w:val="single"/>
            <w:rtl w:val="0"/>
          </w:rPr>
          <w:t xml:space="preserve">https://msu.euramet.org/pre_norm_2015/SRTs/SRT-n12.pdf</w:t>
        </w:r>
      </w:hyperlink>
      <w:r w:rsidDel="00000000" w:rsidR="00000000" w:rsidRPr="00000000">
        <w:rPr>
          <w:rtl w:val="0"/>
        </w:rPr>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Modelling of synchronous generators for the analysis of frequency transients above 1 Hz/s - Archives of Electrical Engineering - Tom Vol. 71, nr 3 (2022) - BazTech - Yadda - ICM, accessed April 28, 2025, </w:t>
      </w:r>
      <w:hyperlink r:id="rId35">
        <w:r w:rsidDel="00000000" w:rsidR="00000000" w:rsidRPr="00000000">
          <w:rPr>
            <w:rFonts w:ascii="Google Sans" w:cs="Google Sans" w:eastAsia="Google Sans" w:hAnsi="Google Sans"/>
            <w:color w:val="0000ee"/>
            <w:sz w:val="24"/>
            <w:szCs w:val="24"/>
            <w:u w:val="single"/>
            <w:rtl w:val="0"/>
          </w:rPr>
          <w:t xml:space="preserve">http://yadda.icm.edu.pl/baztech/element/bwmeta1.element.baztech-090a63d2-15f1-4b96-825b-1e5689aa7481</w:t>
        </w:r>
      </w:hyperlink>
      <w:r w:rsidDel="00000000" w:rsidR="00000000" w:rsidRPr="00000000">
        <w:rPr>
          <w:rtl w:val="0"/>
        </w:rPr>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Frequency Stability Evaluation Criteria for the Synchronous Zone of Continental Europe - ENTSO-e, accessed April 28, 2025, </w:t>
      </w:r>
      <w:hyperlink r:id="rId36">
        <w:r w:rsidDel="00000000" w:rsidR="00000000" w:rsidRPr="00000000">
          <w:rPr>
            <w:rFonts w:ascii="Google Sans" w:cs="Google Sans" w:eastAsia="Google Sans" w:hAnsi="Google Sans"/>
            <w:color w:val="0000ee"/>
            <w:sz w:val="24"/>
            <w:szCs w:val="24"/>
            <w:u w:val="single"/>
            <w:rtl w:val="0"/>
          </w:rPr>
          <w:t xml:space="preserve">https://www.entsoe.eu/Documents/SOC%20documents/RGCE_SPD_frequency_stability_criteria_v10.pdf</w:t>
        </w:r>
      </w:hyperlink>
      <w:r w:rsidDel="00000000" w:rsidR="00000000" w:rsidRPr="00000000">
        <w:rPr>
          <w:rtl w:val="0"/>
        </w:rPr>
      </w:r>
    </w:p>
    <w:p w:rsidR="00000000" w:rsidDel="00000000" w:rsidP="00000000" w:rsidRDefault="00000000" w:rsidRPr="00000000" w14:paraId="000000B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RRS-PFR Study: Summary of Recommendations - ERCOT.com, accessed April 28, 2025, </w:t>
      </w:r>
      <w:hyperlink r:id="rId37">
        <w:r w:rsidDel="00000000" w:rsidR="00000000" w:rsidRPr="00000000">
          <w:rPr>
            <w:rFonts w:ascii="Google Sans" w:cs="Google Sans" w:eastAsia="Google Sans" w:hAnsi="Google Sans"/>
            <w:color w:val="0000ee"/>
            <w:sz w:val="24"/>
            <w:szCs w:val="24"/>
            <w:u w:val="single"/>
            <w:rtl w:val="0"/>
          </w:rPr>
          <w:t xml:space="preserve">https://www.ercot.com/files/docs/2023/12/15/ERCOT-RRS-PFR-STUDY-RECOMMENDATIONS-SUMMARY_R2_CLEAN.pdf</w:t>
        </w:r>
      </w:hyperlink>
      <w:r w:rsidDel="00000000" w:rsidR="00000000" w:rsidRPr="00000000">
        <w:rPr>
          <w:rtl w:val="0"/>
        </w:rPr>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Stochastic Analysis of Cascading-Failure Dynamics in Power Grids - e-Publications@Marquette, accessed April 28, 2025, </w:t>
      </w:r>
      <w:hyperlink r:id="rId38">
        <w:r w:rsidDel="00000000" w:rsidR="00000000" w:rsidRPr="00000000">
          <w:rPr>
            <w:rFonts w:ascii="Google Sans" w:cs="Google Sans" w:eastAsia="Google Sans" w:hAnsi="Google Sans"/>
            <w:color w:val="0000ee"/>
            <w:sz w:val="24"/>
            <w:szCs w:val="24"/>
            <w:u w:val="single"/>
            <w:rtl w:val="0"/>
          </w:rPr>
          <w:t xml:space="preserve">https://epublications.marquette.edu/cgi/viewcontent.cgi?article=1568&amp;context=electric_fac</w:t>
        </w:r>
      </w:hyperlink>
      <w:r w:rsidDel="00000000" w:rsidR="00000000" w:rsidRPr="00000000">
        <w:rPr>
          <w:rtl w:val="0"/>
        </w:rPr>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Cascading Failures in Power Grids – Analysis and Algorithms - Columbia University, accessed April 28, 2025, </w:t>
      </w:r>
      <w:hyperlink r:id="rId39">
        <w:r w:rsidDel="00000000" w:rsidR="00000000" w:rsidRPr="00000000">
          <w:rPr>
            <w:rFonts w:ascii="Google Sans" w:cs="Google Sans" w:eastAsia="Google Sans" w:hAnsi="Google Sans"/>
            <w:color w:val="0000ee"/>
            <w:sz w:val="24"/>
            <w:szCs w:val="24"/>
            <w:u w:val="single"/>
            <w:rtl w:val="0"/>
          </w:rPr>
          <w:t xml:space="preserve">https://wimnet.ee.columbia.edu/wp-content/uploads/2014/04/cascades_power_eenergy.pdf</w:t>
        </w:r>
      </w:hyperlink>
      <w:r w:rsidDel="00000000" w:rsidR="00000000" w:rsidRPr="00000000">
        <w:rPr>
          <w:rtl w:val="0"/>
        </w:rPr>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Explained: Fundamentals of Power Grid Reliability and Clean Electricity | NREL, accessed April 28, 2025, </w:t>
      </w:r>
      <w:hyperlink r:id="rId40">
        <w:r w:rsidDel="00000000" w:rsidR="00000000" w:rsidRPr="00000000">
          <w:rPr>
            <w:rFonts w:ascii="Google Sans" w:cs="Google Sans" w:eastAsia="Google Sans" w:hAnsi="Google Sans"/>
            <w:color w:val="0000ee"/>
            <w:sz w:val="24"/>
            <w:szCs w:val="24"/>
            <w:u w:val="single"/>
            <w:rtl w:val="0"/>
          </w:rPr>
          <w:t xml:space="preserve">https://www.nrel.gov/docs/fy24osti/85880.pdf</w:t>
        </w:r>
      </w:hyperlink>
      <w:r w:rsidDel="00000000" w:rsidR="00000000" w:rsidRPr="00000000">
        <w:rPr>
          <w:rtl w:val="0"/>
        </w:rPr>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Grid Forming Inverters: A Key to Transforming our Power Grid - NREL, accessed April 28, 2025, </w:t>
      </w:r>
      <w:hyperlink r:id="rId41">
        <w:r w:rsidDel="00000000" w:rsidR="00000000" w:rsidRPr="00000000">
          <w:rPr>
            <w:rFonts w:ascii="Google Sans" w:cs="Google Sans" w:eastAsia="Google Sans" w:hAnsi="Google Sans"/>
            <w:color w:val="0000ee"/>
            <w:sz w:val="24"/>
            <w:szCs w:val="24"/>
            <w:u w:val="single"/>
            <w:rtl w:val="0"/>
          </w:rPr>
          <w:t xml:space="preserve">https://www.nrel.gov/docs/fy24osti/90256.pdf</w:t>
        </w:r>
      </w:hyperlink>
      <w:r w:rsidDel="00000000" w:rsidR="00000000" w:rsidRPr="00000000">
        <w:rPr>
          <w:rtl w:val="0"/>
        </w:rPr>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Tees Up Plan to Assess Grid Risks Associated with Data Centers | White &amp; Case LLP, accessed April 28, 2025, </w:t>
      </w:r>
      <w:hyperlink r:id="rId42">
        <w:r w:rsidDel="00000000" w:rsidR="00000000" w:rsidRPr="00000000">
          <w:rPr>
            <w:rFonts w:ascii="Google Sans" w:cs="Google Sans" w:eastAsia="Google Sans" w:hAnsi="Google Sans"/>
            <w:color w:val="0000ee"/>
            <w:sz w:val="24"/>
            <w:szCs w:val="24"/>
            <w:u w:val="single"/>
            <w:rtl w:val="0"/>
          </w:rPr>
          <w:t xml:space="preserve">https://www.whitecase.com/insight-alert/nerc-tees-plan-assess-grid-risks-associated-data-centers</w:t>
        </w:r>
      </w:hyperlink>
      <w:r w:rsidDel="00000000" w:rsidR="00000000" w:rsidRPr="00000000">
        <w:rPr>
          <w:rtl w:val="0"/>
        </w:rPr>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National HVDC Transmission Network - Federation of American Scientists, accessed April 28, 2025, </w:t>
      </w:r>
      <w:hyperlink r:id="rId43">
        <w:r w:rsidDel="00000000" w:rsidR="00000000" w:rsidRPr="00000000">
          <w:rPr>
            <w:rFonts w:ascii="Google Sans" w:cs="Google Sans" w:eastAsia="Google Sans" w:hAnsi="Google Sans"/>
            <w:color w:val="0000ee"/>
            <w:sz w:val="24"/>
            <w:szCs w:val="24"/>
            <w:u w:val="single"/>
            <w:rtl w:val="0"/>
          </w:rPr>
          <w:t xml:space="preserve">https://fas.org/publication/creating-a-national-hvdc-transmission-network/</w:t>
        </w:r>
      </w:hyperlink>
      <w:r w:rsidDel="00000000" w:rsidR="00000000" w:rsidRPr="00000000">
        <w:rPr>
          <w:rtl w:val="0"/>
        </w:rPr>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CIP Standards: Safeguarding North America's Power Grid - Verve Industrial, accessed April 28, 2025, </w:t>
      </w:r>
      <w:hyperlink r:id="rId44">
        <w:r w:rsidDel="00000000" w:rsidR="00000000" w:rsidRPr="00000000">
          <w:rPr>
            <w:rFonts w:ascii="Google Sans" w:cs="Google Sans" w:eastAsia="Google Sans" w:hAnsi="Google Sans"/>
            <w:color w:val="0000ee"/>
            <w:sz w:val="24"/>
            <w:szCs w:val="24"/>
            <w:u w:val="single"/>
            <w:rtl w:val="0"/>
          </w:rPr>
          <w:t xml:space="preserve">https://verveindustrial.com/resources/blog/what-are-the-nerc-cip-standards-in-ics-security/</w:t>
        </w:r>
      </w:hyperlink>
      <w:r w:rsidDel="00000000" w:rsidR="00000000" w:rsidRPr="00000000">
        <w:rPr>
          <w:rtl w:val="0"/>
        </w:rPr>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Incident Review - Considering Simultaneous Voltage-Sensitive Load Reductions - NERC, accessed April 28, 2025, </w:t>
      </w:r>
      <w:hyperlink r:id="rId45">
        <w:r w:rsidDel="00000000" w:rsidR="00000000" w:rsidRPr="00000000">
          <w:rPr>
            <w:rFonts w:ascii="Google Sans" w:cs="Google Sans" w:eastAsia="Google Sans" w:hAnsi="Google Sans"/>
            <w:color w:val="0000ee"/>
            <w:sz w:val="24"/>
            <w:szCs w:val="24"/>
            <w:u w:val="single"/>
            <w:rtl w:val="0"/>
          </w:rPr>
          <w:t xml:space="preserve">https://www.nerc.com/pa/rrm/ea/Documents/Incident_Review_Large_Load_Loss.pdf</w:t>
        </w:r>
      </w:hyperlink>
      <w:r w:rsidDel="00000000" w:rsidR="00000000" w:rsidRPr="00000000">
        <w:rPr>
          <w:rtl w:val="0"/>
        </w:rPr>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Incident Review Examines Risks, Challenges Tied to Integration of Large Loads, accessed April 28, 2025, </w:t>
      </w:r>
      <w:hyperlink r:id="rId46">
        <w:r w:rsidDel="00000000" w:rsidR="00000000" w:rsidRPr="00000000">
          <w:rPr>
            <w:rFonts w:ascii="Google Sans" w:cs="Google Sans" w:eastAsia="Google Sans" w:hAnsi="Google Sans"/>
            <w:color w:val="0000ee"/>
            <w:sz w:val="24"/>
            <w:szCs w:val="24"/>
            <w:u w:val="single"/>
            <w:rtl w:val="0"/>
          </w:rPr>
          <w:t xml:space="preserve">https://www.publicpower.org/periodical/article/nerc-incident-review-examines-risks-challenges-tied-integration-large-loads</w:t>
        </w:r>
      </w:hyperlink>
      <w:r w:rsidDel="00000000" w:rsidR="00000000" w:rsidRPr="00000000">
        <w:rPr>
          <w:rtl w:val="0"/>
        </w:rPr>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Power Infrastructure: A Broken Framework and Vulnerable Grid - Global Association of Risk Professionals (GARP), accessed April 28, 2025, </w:t>
      </w:r>
      <w:hyperlink r:id="rId47">
        <w:r w:rsidDel="00000000" w:rsidR="00000000" w:rsidRPr="00000000">
          <w:rPr>
            <w:rFonts w:ascii="Google Sans" w:cs="Google Sans" w:eastAsia="Google Sans" w:hAnsi="Google Sans"/>
            <w:color w:val="0000ee"/>
            <w:sz w:val="24"/>
            <w:szCs w:val="24"/>
            <w:u w:val="single"/>
            <w:rtl w:val="0"/>
          </w:rPr>
          <w:t xml:space="preserve">https://www.garp.org/risk-intelligence/energy/us-power-infrastructure-a-broken-framework-and-vulnerable-grid</w:t>
        </w:r>
      </w:hyperlink>
      <w:r w:rsidDel="00000000" w:rsidR="00000000" w:rsidRPr="00000000">
        <w:rPr>
          <w:rtl w:val="0"/>
        </w:rPr>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Resources - Western Electricity Coordinating Council, accessed April 28, 2025, </w:t>
      </w:r>
      <w:hyperlink r:id="rId48">
        <w:r w:rsidDel="00000000" w:rsidR="00000000" w:rsidRPr="00000000">
          <w:rPr>
            <w:rFonts w:ascii="Google Sans" w:cs="Google Sans" w:eastAsia="Google Sans" w:hAnsi="Google Sans"/>
            <w:color w:val="0000ee"/>
            <w:sz w:val="24"/>
            <w:szCs w:val="24"/>
            <w:u w:val="single"/>
            <w:rtl w:val="0"/>
          </w:rPr>
          <w:t xml:space="preserve">https://feature.wecc.org/soti/topic-sections/resources/index.html</w:t>
        </w:r>
      </w:hyperlink>
      <w:r w:rsidDel="00000000" w:rsidR="00000000" w:rsidRPr="00000000">
        <w:rPr>
          <w:rtl w:val="0"/>
        </w:rPr>
      </w:r>
    </w:p>
    <w:p w:rsidR="00000000" w:rsidDel="00000000" w:rsidP="00000000" w:rsidRDefault="00000000" w:rsidRPr="00000000" w14:paraId="000000C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WARA, accessed April 28, 2025, </w:t>
      </w:r>
      <w:hyperlink r:id="rId49">
        <w:r w:rsidDel="00000000" w:rsidR="00000000" w:rsidRPr="00000000">
          <w:rPr>
            <w:rFonts w:ascii="Google Sans" w:cs="Google Sans" w:eastAsia="Google Sans" w:hAnsi="Google Sans"/>
            <w:color w:val="0000ee"/>
            <w:sz w:val="24"/>
            <w:szCs w:val="24"/>
            <w:u w:val="single"/>
            <w:rtl w:val="0"/>
          </w:rPr>
          <w:t xml:space="preserve">https://feature.wecc.org/wara/</w:t>
        </w:r>
      </w:hyperlink>
      <w:r w:rsidDel="00000000" w:rsidR="00000000" w:rsidRPr="00000000">
        <w:rPr>
          <w:rtl w:val="0"/>
        </w:rPr>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Western Interconnection Baseline Study - Pacific Northwest National Laboratory, accessed April 28, 2025, </w:t>
      </w:r>
      <w:hyperlink r:id="rId50">
        <w:r w:rsidDel="00000000" w:rsidR="00000000" w:rsidRPr="00000000">
          <w:rPr>
            <w:rFonts w:ascii="Google Sans" w:cs="Google Sans" w:eastAsia="Google Sans" w:hAnsi="Google Sans"/>
            <w:color w:val="0000ee"/>
            <w:sz w:val="24"/>
            <w:szCs w:val="24"/>
            <w:u w:val="single"/>
            <w:rtl w:val="0"/>
          </w:rPr>
          <w:t xml:space="preserve">https://www.pnnl.gov/main/publications/external/technical_reports/PNNL-36452.pdf</w:t>
        </w:r>
      </w:hyperlink>
      <w:r w:rsidDel="00000000" w:rsidR="00000000" w:rsidRPr="00000000">
        <w:rPr>
          <w:rtl w:val="0"/>
        </w:rPr>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Report Highlights Data Center Load Loss Issues - RTO Insider, accessed April 28, 2025, </w:t>
      </w:r>
      <w:hyperlink r:id="rId51">
        <w:r w:rsidDel="00000000" w:rsidR="00000000" w:rsidRPr="00000000">
          <w:rPr>
            <w:rFonts w:ascii="Google Sans" w:cs="Google Sans" w:eastAsia="Google Sans" w:hAnsi="Google Sans"/>
            <w:color w:val="0000ee"/>
            <w:sz w:val="24"/>
            <w:szCs w:val="24"/>
            <w:u w:val="single"/>
            <w:rtl w:val="0"/>
          </w:rPr>
          <w:t xml:space="preserve">https://www.rtoinsider.com/95241-nerc-incident-review-data-center/</w:t>
        </w:r>
      </w:hyperlink>
      <w:r w:rsidDel="00000000" w:rsidR="00000000" w:rsidRPr="00000000">
        <w:rPr>
          <w:rtl w:val="0"/>
        </w:rPr>
      </w:r>
    </w:p>
    <w:p w:rsidR="00000000" w:rsidDel="00000000" w:rsidP="00000000" w:rsidRDefault="00000000" w:rsidRPr="00000000" w14:paraId="000000C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Reliability Risk Priorities for the Western Interconnection, accessed April 28, 2025, </w:t>
      </w:r>
      <w:hyperlink r:id="rId52">
        <w:r w:rsidDel="00000000" w:rsidR="00000000" w:rsidRPr="00000000">
          <w:rPr>
            <w:rFonts w:ascii="Google Sans" w:cs="Google Sans" w:eastAsia="Google Sans" w:hAnsi="Google Sans"/>
            <w:color w:val="0000ee"/>
            <w:sz w:val="24"/>
            <w:szCs w:val="24"/>
            <w:u w:val="single"/>
            <w:rtl w:val="0"/>
          </w:rPr>
          <w:t xml:space="preserve">https://westernenergyboard.org/wp-content/uploads/2017/08/08-24-17-Reliability-Risk-Priorities-for-the-Western-Interconnection-InPOWERd-Report-FINAL.pdf</w:t>
        </w:r>
      </w:hyperlink>
      <w:r w:rsidDel="00000000" w:rsidR="00000000" w:rsidRPr="00000000">
        <w:rPr>
          <w:rtl w:val="0"/>
        </w:rPr>
      </w:r>
    </w:p>
    <w:p w:rsidR="00000000" w:rsidDel="00000000" w:rsidP="00000000" w:rsidRDefault="00000000" w:rsidRPr="00000000" w14:paraId="000000C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Spain | The Power Grid, the Overlooked Cornerstone of the Energy Transition, accessed April 28, 2025, </w:t>
      </w:r>
      <w:hyperlink r:id="rId53">
        <w:r w:rsidDel="00000000" w:rsidR="00000000" w:rsidRPr="00000000">
          <w:rPr>
            <w:rFonts w:ascii="Google Sans" w:cs="Google Sans" w:eastAsia="Google Sans" w:hAnsi="Google Sans"/>
            <w:color w:val="0000ee"/>
            <w:sz w:val="24"/>
            <w:szCs w:val="24"/>
            <w:u w:val="single"/>
            <w:rtl w:val="0"/>
          </w:rPr>
          <w:t xml:space="preserve">https://www.bbvaresearch.com/en/publicaciones/spain-the-power-grid-the-overlooked-cornerstone-of-the-energy-transition/</w:t>
        </w:r>
      </w:hyperlink>
      <w:r w:rsidDel="00000000" w:rsidR="00000000" w:rsidRPr="00000000">
        <w:rPr>
          <w:rtl w:val="0"/>
        </w:rPr>
      </w:r>
    </w:p>
    <w:p w:rsidR="00000000" w:rsidDel="00000000" w:rsidP="00000000" w:rsidRDefault="00000000" w:rsidRPr="00000000" w14:paraId="000000C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Large-scale penetration of renewables in the Iberian power system: Evolution, challenges and flexibility options | Request PDF - ResearchGate, accessed April 28, 2025, </w:t>
      </w:r>
      <w:hyperlink r:id="rId54">
        <w:r w:rsidDel="00000000" w:rsidR="00000000" w:rsidRPr="00000000">
          <w:rPr>
            <w:rFonts w:ascii="Google Sans" w:cs="Google Sans" w:eastAsia="Google Sans" w:hAnsi="Google Sans"/>
            <w:color w:val="0000ee"/>
            <w:sz w:val="24"/>
            <w:szCs w:val="24"/>
            <w:u w:val="single"/>
            <w:rtl w:val="0"/>
          </w:rPr>
          <w:t xml:space="preserve">https://www.researchgate.net/publication/382877848_Large-scale_penetration_of_renewables_in_the_Iberian_power_system_Evolution_challenges_and_flexibility_options</w:t>
        </w:r>
      </w:hyperlink>
      <w:r w:rsidDel="00000000" w:rsidR="00000000" w:rsidRPr="00000000">
        <w:rPr>
          <w:rtl w:val="0"/>
        </w:rPr>
      </w:r>
    </w:p>
    <w:p w:rsidR="00000000" w:rsidDel="00000000" w:rsidP="00000000" w:rsidRDefault="00000000" w:rsidRPr="00000000" w14:paraId="000000C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 management challenges costing Spanish energy consumers, accessed April 28, 2025, </w:t>
      </w:r>
      <w:hyperlink r:id="rId55">
        <w:r w:rsidDel="00000000" w:rsidR="00000000" w:rsidRPr="00000000">
          <w:rPr>
            <w:rFonts w:ascii="Google Sans" w:cs="Google Sans" w:eastAsia="Google Sans" w:hAnsi="Google Sans"/>
            <w:color w:val="0000ee"/>
            <w:sz w:val="24"/>
            <w:szCs w:val="24"/>
            <w:u w:val="single"/>
            <w:rtl w:val="0"/>
          </w:rPr>
          <w:t xml:space="preserve">https://auroraer.com/media/grid-management-challenges-costing-spanish-energy-consumers/</w:t>
        </w:r>
      </w:hyperlink>
      <w:r w:rsidDel="00000000" w:rsidR="00000000" w:rsidRPr="00000000">
        <w:rPr>
          <w:rtl w:val="0"/>
        </w:rPr>
      </w:r>
    </w:p>
    <w:p w:rsidR="00000000" w:rsidDel="00000000" w:rsidP="00000000" w:rsidRDefault="00000000" w:rsidRPr="00000000" w14:paraId="000000C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Electricity interconnections: a step forward towards a single integrated European energy market - Red Eléctrica, accessed April 28, 2025, </w:t>
      </w:r>
      <w:hyperlink r:id="rId56">
        <w:r w:rsidDel="00000000" w:rsidR="00000000" w:rsidRPr="00000000">
          <w:rPr>
            <w:rFonts w:ascii="Google Sans" w:cs="Google Sans" w:eastAsia="Google Sans" w:hAnsi="Google Sans"/>
            <w:color w:val="0000ee"/>
            <w:sz w:val="24"/>
            <w:szCs w:val="24"/>
            <w:u w:val="single"/>
            <w:rtl w:val="0"/>
          </w:rPr>
          <w:t xml:space="preserve">https://www.ree.es/sites/default/files/electricity_interconnections_eng_2.pdf</w:t>
        </w:r>
      </w:hyperlink>
      <w:r w:rsidDel="00000000" w:rsidR="00000000" w:rsidRPr="00000000">
        <w:rPr>
          <w:rtl w:val="0"/>
        </w:rPr>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OPINION on position limits on EEX Spanish Power Base contracts - | European Securities and Markets Authority, accessed April 28, 2025, </w:t>
      </w:r>
      <w:hyperlink r:id="rId57">
        <w:r w:rsidDel="00000000" w:rsidR="00000000" w:rsidRPr="00000000">
          <w:rPr>
            <w:rFonts w:ascii="Google Sans" w:cs="Google Sans" w:eastAsia="Google Sans" w:hAnsi="Google Sans"/>
            <w:color w:val="0000ee"/>
            <w:sz w:val="24"/>
            <w:szCs w:val="24"/>
            <w:u w:val="single"/>
            <w:rtl w:val="0"/>
          </w:rPr>
          <w:t xml:space="preserve">https://www.esma.europa.eu/sites/default/files/library/esma70-155-11738_opinion_on_position_limits_on_eex_spanish_power_base_contracts.pdf</w:t>
        </w:r>
      </w:hyperlink>
      <w:r w:rsidDel="00000000" w:rsidR="00000000" w:rsidRPr="00000000">
        <w:rPr>
          <w:rtl w:val="0"/>
        </w:rPr>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4 - Interconnection Portugal-Spain - ENTSO-e, accessed April 28, 2025, </w:t>
      </w:r>
      <w:hyperlink r:id="rId58">
        <w:r w:rsidDel="00000000" w:rsidR="00000000" w:rsidRPr="00000000">
          <w:rPr>
            <w:rFonts w:ascii="Google Sans" w:cs="Google Sans" w:eastAsia="Google Sans" w:hAnsi="Google Sans"/>
            <w:color w:val="0000ee"/>
            <w:sz w:val="24"/>
            <w:szCs w:val="24"/>
            <w:u w:val="single"/>
            <w:rtl w:val="0"/>
          </w:rPr>
          <w:t xml:space="preserve">https://www.entsoe.eu/Documents/TYNDP%20documents/TYNDP%202016/projects/P0004.pdf</w:t>
        </w:r>
      </w:hyperlink>
      <w:r w:rsidDel="00000000" w:rsidR="00000000" w:rsidRPr="00000000">
        <w:rPr>
          <w:rtl w:val="0"/>
        </w:rPr>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Continental Europe Synchronous Area - Wikipedia, accessed April 28, 2025, </w:t>
      </w:r>
      <w:hyperlink r:id="rId59">
        <w:r w:rsidDel="00000000" w:rsidR="00000000" w:rsidRPr="00000000">
          <w:rPr>
            <w:rFonts w:ascii="Google Sans" w:cs="Google Sans" w:eastAsia="Google Sans" w:hAnsi="Google Sans"/>
            <w:color w:val="0000ee"/>
            <w:sz w:val="24"/>
            <w:szCs w:val="24"/>
            <w:u w:val="single"/>
            <w:rtl w:val="0"/>
          </w:rPr>
          <w:t xml:space="preserve">https://en.wikipedia.org/wiki/Continental_Europe_Synchronous_Area</w:t>
        </w:r>
      </w:hyperlink>
      <w:r w:rsidDel="00000000" w:rsidR="00000000" w:rsidRPr="00000000">
        <w:rPr>
          <w:rtl w:val="0"/>
        </w:rPr>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 Map - ENTSO-e, accessed April 28, 2025, </w:t>
      </w:r>
      <w:hyperlink r:id="rId60">
        <w:r w:rsidDel="00000000" w:rsidR="00000000" w:rsidRPr="00000000">
          <w:rPr>
            <w:rFonts w:ascii="Google Sans" w:cs="Google Sans" w:eastAsia="Google Sans" w:hAnsi="Google Sans"/>
            <w:color w:val="0000ee"/>
            <w:sz w:val="24"/>
            <w:szCs w:val="24"/>
            <w:u w:val="single"/>
            <w:rtl w:val="0"/>
          </w:rPr>
          <w:t xml:space="preserve">https://www.entsoe.eu/data/map/</w:t>
        </w:r>
      </w:hyperlink>
      <w:r w:rsidDel="00000000" w:rsidR="00000000" w:rsidRPr="00000000">
        <w:rPr>
          <w:rtl w:val="0"/>
        </w:rPr>
      </w:r>
    </w:p>
    <w:p w:rsidR="00000000" w:rsidDel="00000000" w:rsidP="00000000" w:rsidRDefault="00000000" w:rsidRPr="00000000" w14:paraId="000000D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Updated map of the Interconnected Electricity Transmission Networks - Med-TSO, accessed April 28, 2025, </w:t>
      </w:r>
      <w:hyperlink r:id="rId61">
        <w:r w:rsidDel="00000000" w:rsidR="00000000" w:rsidRPr="00000000">
          <w:rPr>
            <w:rFonts w:ascii="Google Sans" w:cs="Google Sans" w:eastAsia="Google Sans" w:hAnsi="Google Sans"/>
            <w:color w:val="0000ee"/>
            <w:sz w:val="24"/>
            <w:szCs w:val="24"/>
            <w:u w:val="single"/>
            <w:rtl w:val="0"/>
          </w:rPr>
          <w:t xml:space="preserve">https://med-tso.org/en/news/updated-map-of-the-interconnected-electricity-transmission-networks/</w:t>
        </w:r>
      </w:hyperlink>
      <w:r w:rsidDel="00000000" w:rsidR="00000000" w:rsidRPr="00000000">
        <w:rPr>
          <w:rtl w:val="0"/>
        </w:rPr>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 Operations Reports - ENTSO-e, accessed April 28, 2025, </w:t>
      </w:r>
      <w:hyperlink r:id="rId62">
        <w:r w:rsidDel="00000000" w:rsidR="00000000" w:rsidRPr="00000000">
          <w:rPr>
            <w:rFonts w:ascii="Google Sans" w:cs="Google Sans" w:eastAsia="Google Sans" w:hAnsi="Google Sans"/>
            <w:color w:val="0000ee"/>
            <w:sz w:val="24"/>
            <w:szCs w:val="24"/>
            <w:u w:val="single"/>
            <w:rtl w:val="0"/>
          </w:rPr>
          <w:t xml:space="preserve">https://www.entsoe.eu/publications/system-operations-reports/</w:t>
        </w:r>
      </w:hyperlink>
      <w:r w:rsidDel="00000000" w:rsidR="00000000" w:rsidRPr="00000000">
        <w:rPr>
          <w:rtl w:val="0"/>
        </w:rPr>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ENTSO-E publishes the Final Report on the Grid incident in South-East Europe, accessed April 28, 2025, </w:t>
      </w:r>
      <w:hyperlink r:id="rId63">
        <w:r w:rsidDel="00000000" w:rsidR="00000000" w:rsidRPr="00000000">
          <w:rPr>
            <w:rFonts w:ascii="Google Sans" w:cs="Google Sans" w:eastAsia="Google Sans" w:hAnsi="Google Sans"/>
            <w:color w:val="0000ee"/>
            <w:sz w:val="24"/>
            <w:szCs w:val="24"/>
            <w:u w:val="single"/>
            <w:rtl w:val="0"/>
          </w:rPr>
          <w:t xml:space="preserve">https://www.entsoe.eu/news/2025/02/25/entso-e-publishes-the-final-report-on-the-grid-incident-in-south-east-europe/</w:t>
        </w:r>
      </w:hyperlink>
      <w:r w:rsidDel="00000000" w:rsidR="00000000" w:rsidRPr="00000000">
        <w:rPr>
          <w:rtl w:val="0"/>
        </w:rPr>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ENTSO-E confirms successful synchronization of the Continental European electricity system with the systems of the Baltic countries, accessed April 28, 2025, </w:t>
      </w:r>
      <w:hyperlink r:id="rId64">
        <w:r w:rsidDel="00000000" w:rsidR="00000000" w:rsidRPr="00000000">
          <w:rPr>
            <w:rFonts w:ascii="Google Sans" w:cs="Google Sans" w:eastAsia="Google Sans" w:hAnsi="Google Sans"/>
            <w:color w:val="0000ee"/>
            <w:sz w:val="24"/>
            <w:szCs w:val="24"/>
            <w:u w:val="single"/>
            <w:rtl w:val="0"/>
          </w:rPr>
          <w:t xml:space="preserve">https://www.entsoe.eu/news/2025/02/09/entso-e-confirms-successful-synchronization-of-the-continental-european-electricity-system-with-the-systems-of-the-baltic-countries/</w:t>
        </w:r>
      </w:hyperlink>
      <w:r w:rsidDel="00000000" w:rsidR="00000000" w:rsidRPr="00000000">
        <w:rPr>
          <w:rtl w:val="0"/>
        </w:rPr>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Revolutionizing Power Grids: The Essential Role of HVDC and FACTS in Modern Energy Transmission | AltEnergyMag, accessed April 28, 2025, </w:t>
      </w:r>
      <w:hyperlink r:id="rId65">
        <w:r w:rsidDel="00000000" w:rsidR="00000000" w:rsidRPr="00000000">
          <w:rPr>
            <w:rFonts w:ascii="Google Sans" w:cs="Google Sans" w:eastAsia="Google Sans" w:hAnsi="Google Sans"/>
            <w:color w:val="0000ee"/>
            <w:sz w:val="24"/>
            <w:szCs w:val="24"/>
            <w:u w:val="single"/>
            <w:rtl w:val="0"/>
          </w:rPr>
          <w:t xml:space="preserve">https://www.altenergymag.com/article/2025/04/revolutionizing-power-grids-the-essential-role-of-hvdc-and-facts-in-modern-energy-transmission/45050</w:t>
        </w:r>
      </w:hyperlink>
      <w:r w:rsidDel="00000000" w:rsidR="00000000" w:rsidRPr="00000000">
        <w:rPr>
          <w:rtl w:val="0"/>
        </w:rPr>
      </w:r>
    </w:p>
    <w:p w:rsidR="00000000" w:rsidDel="00000000" w:rsidP="00000000" w:rsidRDefault="00000000" w:rsidRPr="00000000" w14:paraId="000000D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Voltage Direct Current (HVDC) Systems: Applications, Advancements, and Benefits - Inpressco, accessed April 28, 2025, </w:t>
      </w:r>
      <w:hyperlink r:id="rId66">
        <w:r w:rsidDel="00000000" w:rsidR="00000000" w:rsidRPr="00000000">
          <w:rPr>
            <w:rFonts w:ascii="Google Sans" w:cs="Google Sans" w:eastAsia="Google Sans" w:hAnsi="Google Sans"/>
            <w:color w:val="0000ee"/>
            <w:sz w:val="24"/>
            <w:szCs w:val="24"/>
            <w:u w:val="single"/>
            <w:rtl w:val="0"/>
          </w:rPr>
          <w:t xml:space="preserve">https://inpressco.com/wp-content/uploads/2024/11/Paper4419-427.pdf</w:t>
        </w:r>
      </w:hyperlink>
      <w:r w:rsidDel="00000000" w:rsidR="00000000" w:rsidRPr="00000000">
        <w:rPr>
          <w:rtl w:val="0"/>
        </w:rPr>
      </w:r>
    </w:p>
    <w:p w:rsidR="00000000" w:rsidDel="00000000" w:rsidP="00000000" w:rsidRDefault="00000000" w:rsidRPr="00000000" w14:paraId="000000D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Technical Aspects of Grid Interconnection - energypedia, accessed April 28, 2025, </w:t>
      </w:r>
      <w:hyperlink r:id="rId67">
        <w:r w:rsidDel="00000000" w:rsidR="00000000" w:rsidRPr="00000000">
          <w:rPr>
            <w:rFonts w:ascii="Google Sans" w:cs="Google Sans" w:eastAsia="Google Sans" w:hAnsi="Google Sans"/>
            <w:color w:val="0000ee"/>
            <w:sz w:val="24"/>
            <w:szCs w:val="24"/>
            <w:u w:val="single"/>
            <w:rtl w:val="0"/>
          </w:rPr>
          <w:t xml:space="preserve">https://energypedia.info/wiki/Technical_Aspects_of_Grid_Interconnection</w:t>
        </w:r>
      </w:hyperlink>
      <w:r w:rsidDel="00000000" w:rsidR="00000000" w:rsidRPr="00000000">
        <w:rPr>
          <w:rtl w:val="0"/>
        </w:rPr>
      </w:r>
    </w:p>
    <w:p w:rsidR="00000000" w:rsidDel="00000000" w:rsidP="00000000" w:rsidRDefault="00000000" w:rsidRPr="00000000" w14:paraId="000000D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fangoria-345-2015.pdf - Owen Williams, accessed April 28, 2025, </w:t>
      </w:r>
      <w:hyperlink r:id="rId68">
        <w:r w:rsidDel="00000000" w:rsidR="00000000" w:rsidRPr="00000000">
          <w:rPr>
            <w:rFonts w:ascii="Google Sans" w:cs="Google Sans" w:eastAsia="Google Sans" w:hAnsi="Google Sans"/>
            <w:color w:val="0000ee"/>
            <w:sz w:val="24"/>
            <w:szCs w:val="24"/>
            <w:u w:val="single"/>
            <w:rtl w:val="0"/>
          </w:rPr>
          <w:t xml:space="preserve">https://flexiblehead.blog/wp-content/uploads/2016/02/fangoria-345-2015.pdf</w:t>
        </w:r>
      </w:hyperlink>
      <w:r w:rsidDel="00000000" w:rsidR="00000000" w:rsidRPr="00000000">
        <w:rPr>
          <w:rtl w:val="0"/>
        </w:rPr>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Roadmap on Grid-Forming Inverters - NREL, accessed April 28, 2025, </w:t>
      </w:r>
      <w:hyperlink r:id="rId69">
        <w:r w:rsidDel="00000000" w:rsidR="00000000" w:rsidRPr="00000000">
          <w:rPr>
            <w:rFonts w:ascii="Google Sans" w:cs="Google Sans" w:eastAsia="Google Sans" w:hAnsi="Google Sans"/>
            <w:color w:val="0000ee"/>
            <w:sz w:val="24"/>
            <w:szCs w:val="24"/>
            <w:u w:val="single"/>
            <w:rtl w:val="0"/>
          </w:rPr>
          <w:t xml:space="preserve">https://www.nrel.gov/docs/fy21osti/73476.pdf</w:t>
        </w:r>
      </w:hyperlink>
      <w:r w:rsidDel="00000000" w:rsidR="00000000" w:rsidRPr="00000000">
        <w:rPr>
          <w:rtl w:val="0"/>
        </w:rPr>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simple estimation method of grid‐forming inverter inertia based on rate of change of frequency | IET Power Electronics, accessed April 28, 2025, </w:t>
      </w:r>
      <w:hyperlink r:id="rId70">
        <w:r w:rsidDel="00000000" w:rsidR="00000000" w:rsidRPr="00000000">
          <w:rPr>
            <w:rFonts w:ascii="Google Sans" w:cs="Google Sans" w:eastAsia="Google Sans" w:hAnsi="Google Sans"/>
            <w:color w:val="0000ee"/>
            <w:sz w:val="24"/>
            <w:szCs w:val="24"/>
            <w:u w:val="single"/>
            <w:rtl w:val="0"/>
          </w:rPr>
          <w:t xml:space="preserve">https://digital-library.theiet.org/doi/full/10.1049/pel2.12656</w:t>
        </w:r>
      </w:hyperlink>
      <w:r w:rsidDel="00000000" w:rsidR="00000000" w:rsidRPr="00000000">
        <w:rPr>
          <w:rtl w:val="0"/>
        </w:rPr>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Demand response – system frequency control - ENTSO-e, accessed April 28, 2025, </w:t>
      </w:r>
      <w:hyperlink r:id="rId71">
        <w:r w:rsidDel="00000000" w:rsidR="00000000" w:rsidRPr="00000000">
          <w:rPr>
            <w:rFonts w:ascii="Google Sans" w:cs="Google Sans" w:eastAsia="Google Sans" w:hAnsi="Google Sans"/>
            <w:color w:val="0000ee"/>
            <w:sz w:val="24"/>
            <w:szCs w:val="24"/>
            <w:u w:val="single"/>
            <w:rtl w:val="0"/>
          </w:rPr>
          <w:t xml:space="preserve">https://www.entsoe.eu/Documents/Network%20codes%20documents/NC%20RfG/210601_IGD_Demand_Response_System_Frequency_Control.pdf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nrel.gov/docs/fy24osti/85880.pdf" TargetMode="External"/><Relationship Id="rId42" Type="http://schemas.openxmlformats.org/officeDocument/2006/relationships/hyperlink" Target="https://www.whitecase.com/insight-alert/nerc-tees-plan-assess-grid-risks-associated-data-centers" TargetMode="External"/><Relationship Id="rId41" Type="http://schemas.openxmlformats.org/officeDocument/2006/relationships/hyperlink" Target="https://www.nrel.gov/docs/fy24osti/90256.pdf" TargetMode="External"/><Relationship Id="rId44" Type="http://schemas.openxmlformats.org/officeDocument/2006/relationships/hyperlink" Target="https://verveindustrial.com/resources/blog/what-are-the-nerc-cip-standards-in-ics-security/" TargetMode="External"/><Relationship Id="rId43" Type="http://schemas.openxmlformats.org/officeDocument/2006/relationships/hyperlink" Target="https://fas.org/publication/creating-a-national-hvdc-transmission-network/" TargetMode="External"/><Relationship Id="rId46" Type="http://schemas.openxmlformats.org/officeDocument/2006/relationships/hyperlink" Target="https://www.publicpower.org/periodical/article/nerc-incident-review-examines-risks-challenges-tied-integration-large-loads" TargetMode="External"/><Relationship Id="rId45" Type="http://schemas.openxmlformats.org/officeDocument/2006/relationships/hyperlink" Target="https://www.nerc.com/pa/rrm/ea/Documents/Incident_Review_Large_Load_Loss.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ercot.com/files/docs/2025/03/14/ERCOT-2024-State-of-the-Grid.pdf" TargetMode="External"/><Relationship Id="rId48" Type="http://schemas.openxmlformats.org/officeDocument/2006/relationships/hyperlink" Target="https://feature.wecc.org/soti/topic-sections/resources/index.html" TargetMode="External"/><Relationship Id="rId47" Type="http://schemas.openxmlformats.org/officeDocument/2006/relationships/hyperlink" Target="https://www.garp.org/risk-intelligence/energy/us-power-infrastructure-a-broken-framework-and-vulnerable-grid" TargetMode="External"/><Relationship Id="rId49" Type="http://schemas.openxmlformats.org/officeDocument/2006/relationships/hyperlink" Target="https://feature.wecc.org/wara/" TargetMode="External"/><Relationship Id="rId5" Type="http://schemas.openxmlformats.org/officeDocument/2006/relationships/styles" Target="styles.xml"/><Relationship Id="rId6" Type="http://schemas.openxmlformats.org/officeDocument/2006/relationships/hyperlink" Target="https://aemo.com.au/-/media/files/initiatives/engineering-framework/2023/inertia-in-the-nem-explained.pdf?la=en" TargetMode="External"/><Relationship Id="rId7" Type="http://schemas.openxmlformats.org/officeDocument/2006/relationships/hyperlink" Target="https://www.renewableenergyworld.com/solar/grid-inertia-why-it-matters-in-a-renewable-world/" TargetMode="External"/><Relationship Id="rId8" Type="http://schemas.openxmlformats.org/officeDocument/2006/relationships/hyperlink" Target="https://en.wikipedia.org/wiki/Inertial_response" TargetMode="External"/><Relationship Id="rId31" Type="http://schemas.openxmlformats.org/officeDocument/2006/relationships/hyperlink" Target="https://www2.nrel.gov/grid/grid-forming-inverter-controls" TargetMode="External"/><Relationship Id="rId30" Type="http://schemas.openxmlformats.org/officeDocument/2006/relationships/hyperlink" Target="https://pvcase.com/blog/renewable-energy-and-grid-stability-modern-infrastructure-challenges-and-solutions/" TargetMode="External"/><Relationship Id="rId33" Type="http://schemas.openxmlformats.org/officeDocument/2006/relationships/hyperlink" Target="https://eepublicdownloads.blob.core.windows.net/public-cdn-container/clean-documents/Publications/Position%20papers%20and%20reports/2025/250123_Project_Inertia_II_Position_paper_Recovering_power_system_resilience_in_case_of_system_splits_for_a_future-ready_decarbonised_system.pdf" TargetMode="External"/><Relationship Id="rId32" Type="http://schemas.openxmlformats.org/officeDocument/2006/relationships/hyperlink" Target="https://www.euramet.org/research-innovation/search-research-projects/details?tx_eurametctcp_project%5Bproject%5D=1432&amp;cHash=31078616ac9b889b148d30fd0447582c" TargetMode="External"/><Relationship Id="rId35" Type="http://schemas.openxmlformats.org/officeDocument/2006/relationships/hyperlink" Target="http://yadda.icm.edu.pl/baztech/element/bwmeta1.element.baztech-090a63d2-15f1-4b96-825b-1e5689aa7481" TargetMode="External"/><Relationship Id="rId34" Type="http://schemas.openxmlformats.org/officeDocument/2006/relationships/hyperlink" Target="https://msu.euramet.org/pre_norm_2015/SRTs/SRT-n12.pdf" TargetMode="External"/><Relationship Id="rId71" Type="http://schemas.openxmlformats.org/officeDocument/2006/relationships/hyperlink" Target="https://www.entsoe.eu/Documents/Network%20codes%20documents/NC%20RfG/210601_IGD_Demand_Response_System_Frequency_Control.pdf" TargetMode="External"/><Relationship Id="rId70" Type="http://schemas.openxmlformats.org/officeDocument/2006/relationships/hyperlink" Target="https://digital-library.theiet.org/doi/full/10.1049/pel2.12656" TargetMode="External"/><Relationship Id="rId37" Type="http://schemas.openxmlformats.org/officeDocument/2006/relationships/hyperlink" Target="https://www.ercot.com/files/docs/2023/12/15/ERCOT-RRS-PFR-STUDY-RECOMMENDATIONS-SUMMARY_R2_CLEAN.pdf" TargetMode="External"/><Relationship Id="rId36" Type="http://schemas.openxmlformats.org/officeDocument/2006/relationships/hyperlink" Target="https://www.entsoe.eu/Documents/SOC%20documents/RGCE_SPD_frequency_stability_criteria_v10.pdf" TargetMode="External"/><Relationship Id="rId39" Type="http://schemas.openxmlformats.org/officeDocument/2006/relationships/hyperlink" Target="https://wimnet.ee.columbia.edu/wp-content/uploads/2014/04/cascades_power_eenergy.pdf" TargetMode="External"/><Relationship Id="rId38" Type="http://schemas.openxmlformats.org/officeDocument/2006/relationships/hyperlink" Target="https://epublications.marquette.edu/cgi/viewcontent.cgi?article=1568&amp;context=electric_fac" TargetMode="External"/><Relationship Id="rId62" Type="http://schemas.openxmlformats.org/officeDocument/2006/relationships/hyperlink" Target="https://www.entsoe.eu/publications/system-operations-reports/" TargetMode="External"/><Relationship Id="rId61" Type="http://schemas.openxmlformats.org/officeDocument/2006/relationships/hyperlink" Target="https://med-tso.org/en/news/updated-map-of-the-interconnected-electricity-transmission-networks/" TargetMode="External"/><Relationship Id="rId20" Type="http://schemas.openxmlformats.org/officeDocument/2006/relationships/hyperlink" Target="https://www.energy.gov/sites/prod/files/2017/01/f34/Electric%20Grid%20Security%20and%20Resilience--Establishing%20a%20Baseline%20for%20Adversarial%20Threats.pdf" TargetMode="External"/><Relationship Id="rId64" Type="http://schemas.openxmlformats.org/officeDocument/2006/relationships/hyperlink" Target="https://www.entsoe.eu/news/2025/02/09/entso-e-confirms-successful-synchronization-of-the-continental-european-electricity-system-with-the-systems-of-the-baltic-countries/" TargetMode="External"/><Relationship Id="rId63" Type="http://schemas.openxmlformats.org/officeDocument/2006/relationships/hyperlink" Target="https://www.entsoe.eu/news/2025/02/25/entso-e-publishes-the-final-report-on-the-grid-incident-in-south-east-europe/" TargetMode="External"/><Relationship Id="rId22" Type="http://schemas.openxmlformats.org/officeDocument/2006/relationships/hyperlink" Target="https://www.naspi.org/sites/default/files/2016-10/ieee_papic_cascading_outage_prevention_20160322.pdf" TargetMode="External"/><Relationship Id="rId66" Type="http://schemas.openxmlformats.org/officeDocument/2006/relationships/hyperlink" Target="https://inpressco.com/wp-content/uploads/2024/11/Paper4419-427.pdf" TargetMode="External"/><Relationship Id="rId21" Type="http://schemas.openxmlformats.org/officeDocument/2006/relationships/hyperlink" Target="https://www.sciopen.com/article/10.23919/IEN.2023.0039" TargetMode="External"/><Relationship Id="rId65" Type="http://schemas.openxmlformats.org/officeDocument/2006/relationships/hyperlink" Target="https://www.altenergymag.com/article/2025/04/revolutionizing-power-grids-the-essential-role-of-hvdc-and-facts-in-modern-energy-transmission/45050" TargetMode="External"/><Relationship Id="rId24" Type="http://schemas.openxmlformats.org/officeDocument/2006/relationships/hyperlink" Target="https://increment.com/teams/ermas-whiz-kids/" TargetMode="External"/><Relationship Id="rId68" Type="http://schemas.openxmlformats.org/officeDocument/2006/relationships/hyperlink" Target="https://flexiblehead.blog/wp-content/uploads/2016/02/fangoria-345-2015.pdf" TargetMode="External"/><Relationship Id="rId23" Type="http://schemas.openxmlformats.org/officeDocument/2006/relationships/hyperlink" Target="https://www.govinfo.gov/content/pkg/GPO-CRECB-1959-pt8/pdf/GPO-CRECB-1959-pt8-7.pdf" TargetMode="External"/><Relationship Id="rId67" Type="http://schemas.openxmlformats.org/officeDocument/2006/relationships/hyperlink" Target="https://energypedia.info/wiki/Technical_Aspects_of_Grid_Interconnection" TargetMode="External"/><Relationship Id="rId60" Type="http://schemas.openxmlformats.org/officeDocument/2006/relationships/hyperlink" Target="https://www.entsoe.eu/data/map/" TargetMode="External"/><Relationship Id="rId26" Type="http://schemas.openxmlformats.org/officeDocument/2006/relationships/hyperlink" Target="https://www.next-kraftwerke.com/knowledge/frequency-containment-reserve-fcr" TargetMode="External"/><Relationship Id="rId25" Type="http://schemas.openxmlformats.org/officeDocument/2006/relationships/hyperlink" Target="https://www.researchgate.net/scientific-contributions/James-L-McKenney-70387844" TargetMode="External"/><Relationship Id="rId69" Type="http://schemas.openxmlformats.org/officeDocument/2006/relationships/hyperlink" Target="https://www.nrel.gov/docs/fy21osti/73476.pdf" TargetMode="External"/><Relationship Id="rId28" Type="http://schemas.openxmlformats.org/officeDocument/2006/relationships/hyperlink" Target="https://www.ku.ac.ae/navigating-the-challenges-of-renewable-energy-integration#:~:text=A%20power%20system%20with%20low,frequency%20as%20the%20electricity%20grid." TargetMode="External"/><Relationship Id="rId27" Type="http://schemas.openxmlformats.org/officeDocument/2006/relationships/hyperlink" Target="https://www.nrel.gov/docs/fy20osti/73856.pdf" TargetMode="External"/><Relationship Id="rId29" Type="http://schemas.openxmlformats.org/officeDocument/2006/relationships/hyperlink" Target="https://www.ku.ac.ae/navigating-the-challenges-of-renewable-energy-integration" TargetMode="External"/><Relationship Id="rId51" Type="http://schemas.openxmlformats.org/officeDocument/2006/relationships/hyperlink" Target="https://www.rtoinsider.com/95241-nerc-incident-review-data-center/" TargetMode="External"/><Relationship Id="rId50" Type="http://schemas.openxmlformats.org/officeDocument/2006/relationships/hyperlink" Target="https://www.pnnl.gov/main/publications/external/technical_reports/PNNL-36452.pdf" TargetMode="External"/><Relationship Id="rId53" Type="http://schemas.openxmlformats.org/officeDocument/2006/relationships/hyperlink" Target="https://www.bbvaresearch.com/en/publicaciones/spain-the-power-grid-the-overlooked-cornerstone-of-the-energy-transition/" TargetMode="External"/><Relationship Id="rId52" Type="http://schemas.openxmlformats.org/officeDocument/2006/relationships/hyperlink" Target="https://westernenergyboard.org/wp-content/uploads/2017/08/08-24-17-Reliability-Risk-Priorities-for-the-Western-Interconnection-InPOWERd-Report-FINAL.pdf" TargetMode="External"/><Relationship Id="rId11" Type="http://schemas.openxmlformats.org/officeDocument/2006/relationships/hyperlink" Target="https://smartcorp.com/top-power-utility-energy-conferences-and-trade-shows-2024-and-2025/" TargetMode="External"/><Relationship Id="rId55" Type="http://schemas.openxmlformats.org/officeDocument/2006/relationships/hyperlink" Target="https://auroraer.com/media/grid-management-challenges-costing-spanish-energy-consumers/" TargetMode="External"/><Relationship Id="rId10" Type="http://schemas.openxmlformats.org/officeDocument/2006/relationships/hyperlink" Target="https://smartgridobserver.com/EV-Summit-Chicago/" TargetMode="External"/><Relationship Id="rId54" Type="http://schemas.openxmlformats.org/officeDocument/2006/relationships/hyperlink" Target="https://www.researchgate.net/publication/382877848_Large-scale_penetration_of_renewables_in_the_Iberian_power_system_Evolution_challenges_and_flexibility_options" TargetMode="External"/><Relationship Id="rId13" Type="http://schemas.openxmlformats.org/officeDocument/2006/relationships/hyperlink" Target="https://ieeet-d.org/2024-ieee-pes-td/attendee/special-features/" TargetMode="External"/><Relationship Id="rId57" Type="http://schemas.openxmlformats.org/officeDocument/2006/relationships/hyperlink" Target="https://www.esma.europa.eu/sites/default/files/library/esma70-155-11738_opinion_on_position_limits_on_eex_spanish_power_base_contracts.pdf" TargetMode="External"/><Relationship Id="rId12" Type="http://schemas.openxmlformats.org/officeDocument/2006/relationships/hyperlink" Target="https://10times.com/chicago-us/power-energy" TargetMode="External"/><Relationship Id="rId56" Type="http://schemas.openxmlformats.org/officeDocument/2006/relationships/hyperlink" Target="https://www.ree.es/sites/default/files/electricity_interconnections_eng_2.pdf" TargetMode="External"/><Relationship Id="rId15" Type="http://schemas.openxmlformats.org/officeDocument/2006/relationships/hyperlink" Target="https://www.nrel.gov/docs/fy23osti/78176.pdf" TargetMode="External"/><Relationship Id="rId59" Type="http://schemas.openxmlformats.org/officeDocument/2006/relationships/hyperlink" Target="https://en.wikipedia.org/wiki/Continental_Europe_Synchronous_Area" TargetMode="External"/><Relationship Id="rId14" Type="http://schemas.openxmlformats.org/officeDocument/2006/relationships/hyperlink" Target="https://www.mckinsey.com/~/media/mckinsey/dotcom/client_service/Sustainability/PDFs/US_energy_efficiency_full_report.pdf" TargetMode="External"/><Relationship Id="rId58" Type="http://schemas.openxmlformats.org/officeDocument/2006/relationships/hyperlink" Target="https://www.entsoe.eu/Documents/TYNDP%20documents/TYNDP%202016/projects/P0004.pdf" TargetMode="External"/><Relationship Id="rId17" Type="http://schemas.openxmlformats.org/officeDocument/2006/relationships/hyperlink" Target="https://netzero-events.com/inertia-services-in-power-system-hidden-challenge-for-renewable-grids/" TargetMode="External"/><Relationship Id="rId16" Type="http://schemas.openxmlformats.org/officeDocument/2006/relationships/hyperlink" Target="https://www.entsoe.eu/fileadmin/user_upload/_library/publications/entsoe/Operation_Handbook/Policy_1_Appendix%20_final.pdf" TargetMode="External"/><Relationship Id="rId19" Type="http://schemas.openxmlformats.org/officeDocument/2006/relationships/hyperlink" Target="https://amarok.com/blog/threats-to-the-u-s-power-grid/" TargetMode="External"/><Relationship Id="rId18" Type="http://schemas.openxmlformats.org/officeDocument/2006/relationships/hyperlink" Target="https://link.aps.org/doi/10.1103/PhysRevResearch.7.01313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